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ind w:left="8527"/>
        <w:rPr>
          <w:rFonts w:ascii="Times New Roman"/>
          <w:sz w:val="20"/>
        </w:rPr>
      </w:pPr>
      <w:r>
        <w:rPr>
          <w:rFonts w:ascii="Times New Roman"/>
          <w:sz w:val="20"/>
        </w:rPr>
        <w:drawing>
          <wp:inline distT="0" distB="0" distL="0" distR="0">
            <wp:extent cx="723900" cy="723900"/>
            <wp:effectExtent l="0" t="0" r="0" b="0"/>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723900" cy="723900"/>
                    </a:xfrm>
                    <a:prstGeom prst="rect">
                      <a:avLst/>
                    </a:prstGeom>
                  </pic:spPr>
                </pic:pic>
              </a:graphicData>
            </a:graphic>
          </wp:inline>
        </w:drawing>
      </w:r>
      <w:r>
        <w:rPr>
          <w:rFonts w:ascii="Times New Roman"/>
          <w:sz w:val="20"/>
        </w:rPr>
      </w:r>
    </w:p>
    <w:p>
      <w:pPr>
        <w:spacing w:after="0"/>
        <w:rPr>
          <w:rFonts w:ascii="Times New Roman"/>
          <w:sz w:val="20"/>
        </w:rPr>
        <w:sectPr>
          <w:footerReference w:type="default" r:id="rId5"/>
          <w:type w:val="continuous"/>
          <w:pgSz w:w="11910" w:h="16840"/>
          <w:pgMar w:footer="1005" w:header="0" w:top="240" w:bottom="1200" w:left="1560" w:right="240"/>
          <w:pgNumType w:start="1"/>
        </w:sectPr>
      </w:pPr>
    </w:p>
    <w:p>
      <w:pPr>
        <w:spacing w:before="41"/>
        <w:ind w:left="238" w:right="0" w:firstLine="0"/>
        <w:jc w:val="left"/>
        <w:rPr>
          <w:sz w:val="24"/>
        </w:rPr>
      </w:pPr>
      <w:r>
        <w:rPr>
          <w:spacing w:val="-21"/>
          <w:sz w:val="24"/>
        </w:rPr>
        <w:t>附件 </w:t>
      </w:r>
      <w:r>
        <w:rPr>
          <w:sz w:val="24"/>
        </w:rPr>
        <w:t>1-</w:t>
      </w:r>
      <w:r>
        <w:rPr>
          <w:spacing w:val="-10"/>
          <w:sz w:val="24"/>
        </w:rPr>
        <w:t>2</w:t>
      </w:r>
    </w:p>
    <w:p>
      <w:pPr>
        <w:spacing w:line="240" w:lineRule="auto" w:before="4"/>
        <w:rPr>
          <w:sz w:val="62"/>
        </w:rPr>
      </w:pPr>
      <w:r>
        <w:rPr/>
        <w:br w:type="column"/>
      </w:r>
      <w:r>
        <w:rPr>
          <w:sz w:val="62"/>
        </w:rPr>
      </w:r>
    </w:p>
    <w:p>
      <w:pPr>
        <w:pStyle w:val="Title"/>
      </w:pPr>
      <w:r>
        <w:rPr>
          <w:w w:val="95"/>
        </w:rPr>
        <w:t>昆</w:t>
      </w:r>
      <w:r>
        <w:rPr>
          <w:w w:val="95"/>
        </w:rPr>
        <w:t>仑</w:t>
      </w:r>
      <w:r>
        <w:rPr>
          <w:w w:val="95"/>
        </w:rPr>
        <w:t>健</w:t>
      </w:r>
      <w:r>
        <w:rPr>
          <w:w w:val="95"/>
        </w:rPr>
        <w:t>康</w:t>
      </w:r>
      <w:r>
        <w:rPr>
          <w:w w:val="95"/>
        </w:rPr>
        <w:t>保</w:t>
      </w:r>
      <w:r>
        <w:rPr>
          <w:w w:val="95"/>
        </w:rPr>
        <w:t>险</w:t>
      </w:r>
      <w:r>
        <w:rPr>
          <w:w w:val="95"/>
        </w:rPr>
        <w:t>股</w:t>
      </w:r>
      <w:r>
        <w:rPr>
          <w:w w:val="95"/>
        </w:rPr>
        <w:t>份</w:t>
      </w:r>
      <w:r>
        <w:rPr>
          <w:w w:val="95"/>
        </w:rPr>
        <w:t>有</w:t>
      </w:r>
      <w:r>
        <w:rPr>
          <w:w w:val="95"/>
        </w:rPr>
        <w:t>限</w:t>
      </w:r>
      <w:r>
        <w:rPr>
          <w:w w:val="95"/>
        </w:rPr>
        <w:t>公</w:t>
      </w:r>
      <w:r>
        <w:rPr>
          <w:spacing w:val="-10"/>
          <w:w w:val="95"/>
        </w:rPr>
        <w:t>司</w:t>
      </w:r>
    </w:p>
    <w:p>
      <w:pPr>
        <w:pStyle w:val="BodyText"/>
        <w:spacing w:before="160"/>
        <w:ind w:left="2269" w:right="2063"/>
        <w:jc w:val="center"/>
      </w:pPr>
      <w:r>
        <w:rPr>
          <w:spacing w:val="-2"/>
        </w:rPr>
        <w:t>（</w:t>
      </w:r>
      <w:r>
        <w:rPr>
          <w:spacing w:val="-15"/>
        </w:rPr>
        <w:t>以下简称“本公司”</w:t>
      </w:r>
      <w:r>
        <w:rPr>
          <w:spacing w:val="-5"/>
        </w:rPr>
        <w:t>）</w:t>
      </w:r>
    </w:p>
    <w:p>
      <w:pPr>
        <w:spacing w:line="324" w:lineRule="auto" w:before="99"/>
        <w:ind w:left="509" w:right="372" w:hanging="2"/>
        <w:jc w:val="center"/>
        <w:rPr>
          <w:sz w:val="18"/>
        </w:rPr>
      </w:pPr>
      <w:r>
        <w:rPr/>
        <w:br w:type="column"/>
      </w:r>
      <w:r>
        <w:rPr>
          <w:spacing w:val="-2"/>
          <w:sz w:val="18"/>
        </w:rPr>
        <w:t>昆仑健康</w:t>
      </w:r>
      <w:r>
        <w:rPr>
          <w:spacing w:val="-2"/>
          <w:sz w:val="18"/>
        </w:rPr>
        <w:t>[2021]</w:t>
      </w:r>
      <w:r>
        <w:rPr>
          <w:spacing w:val="-10"/>
          <w:sz w:val="18"/>
        </w:rPr>
        <w:t>疾病保险 </w:t>
      </w:r>
      <w:r>
        <w:rPr>
          <w:spacing w:val="-2"/>
          <w:sz w:val="18"/>
        </w:rPr>
        <w:t>001</w:t>
      </w:r>
      <w:r>
        <w:rPr>
          <w:spacing w:val="-24"/>
          <w:sz w:val="18"/>
        </w:rPr>
        <w:t> 号</w:t>
      </w:r>
    </w:p>
    <w:p>
      <w:pPr>
        <w:spacing w:line="230" w:lineRule="exact" w:before="0"/>
        <w:ind w:left="224" w:right="95" w:firstLine="0"/>
        <w:jc w:val="center"/>
        <w:rPr>
          <w:sz w:val="18"/>
        </w:rPr>
      </w:pPr>
      <w:r>
        <w:rPr>
          <w:spacing w:val="-1"/>
          <w:sz w:val="18"/>
        </w:rPr>
        <w:t>请扫描以查询验证条款</w:t>
      </w:r>
    </w:p>
    <w:p>
      <w:pPr>
        <w:spacing w:after="0" w:line="230" w:lineRule="exact"/>
        <w:jc w:val="center"/>
        <w:rPr>
          <w:sz w:val="18"/>
        </w:rPr>
        <w:sectPr>
          <w:type w:val="continuous"/>
          <w:pgSz w:w="11910" w:h="16840"/>
          <w:pgMar w:header="0" w:footer="1005" w:top="240" w:bottom="1200" w:left="1560" w:right="240"/>
          <w:cols w:num="3" w:equalWidth="0">
            <w:col w:w="1179" w:space="197"/>
            <w:col w:w="6541" w:space="43"/>
            <w:col w:w="2150"/>
          </w:cols>
        </w:sectPr>
      </w:pPr>
    </w:p>
    <w:p>
      <w:pPr>
        <w:pStyle w:val="BodyText"/>
        <w:spacing w:before="2"/>
        <w:ind w:left="0"/>
        <w:rPr>
          <w:sz w:val="25"/>
        </w:rPr>
      </w:pPr>
    </w:p>
    <w:p>
      <w:pPr>
        <w:spacing w:before="38"/>
        <w:ind w:left="1023" w:right="2341" w:firstLine="0"/>
        <w:jc w:val="center"/>
        <w:rPr>
          <w:b/>
          <w:sz w:val="44"/>
        </w:rPr>
      </w:pPr>
      <w:r>
        <w:rPr>
          <w:b/>
          <w:w w:val="95"/>
          <w:sz w:val="44"/>
        </w:rPr>
        <w:t>健</w:t>
      </w:r>
      <w:r>
        <w:rPr>
          <w:b/>
          <w:w w:val="95"/>
          <w:sz w:val="44"/>
        </w:rPr>
        <w:t>康</w:t>
      </w:r>
      <w:r>
        <w:rPr>
          <w:b/>
          <w:w w:val="95"/>
          <w:sz w:val="44"/>
        </w:rPr>
        <w:t>保</w:t>
      </w:r>
      <w:r>
        <w:rPr>
          <w:b/>
          <w:w w:val="95"/>
          <w:sz w:val="44"/>
        </w:rPr>
        <w:t>青</w:t>
      </w:r>
      <w:r>
        <w:rPr>
          <w:b/>
          <w:w w:val="95"/>
          <w:sz w:val="44"/>
        </w:rPr>
        <w:t>春</w:t>
      </w:r>
      <w:r>
        <w:rPr>
          <w:b/>
          <w:w w:val="95"/>
          <w:sz w:val="44"/>
        </w:rPr>
        <w:t>多</w:t>
      </w:r>
      <w:r>
        <w:rPr>
          <w:b/>
          <w:w w:val="95"/>
          <w:sz w:val="44"/>
        </w:rPr>
        <w:t>倍</w:t>
      </w:r>
      <w:r>
        <w:rPr>
          <w:b/>
          <w:w w:val="95"/>
          <w:sz w:val="44"/>
        </w:rPr>
        <w:t>版</w:t>
      </w:r>
      <w:r>
        <w:rPr>
          <w:b/>
          <w:w w:val="95"/>
          <w:sz w:val="44"/>
        </w:rPr>
        <w:t>重</w:t>
      </w:r>
      <w:r>
        <w:rPr>
          <w:b/>
          <w:w w:val="95"/>
          <w:sz w:val="44"/>
        </w:rPr>
        <w:t>大</w:t>
      </w:r>
      <w:r>
        <w:rPr>
          <w:b/>
          <w:w w:val="95"/>
          <w:sz w:val="44"/>
        </w:rPr>
        <w:t>疾</w:t>
      </w:r>
      <w:r>
        <w:rPr>
          <w:b/>
          <w:w w:val="95"/>
          <w:sz w:val="44"/>
        </w:rPr>
        <w:t>病</w:t>
      </w:r>
      <w:r>
        <w:rPr>
          <w:b/>
          <w:w w:val="95"/>
          <w:sz w:val="44"/>
        </w:rPr>
        <w:t>保</w:t>
      </w:r>
      <w:r>
        <w:rPr>
          <w:b/>
          <w:w w:val="95"/>
          <w:sz w:val="44"/>
        </w:rPr>
        <w:t>险</w:t>
      </w:r>
      <w:r>
        <w:rPr>
          <w:b/>
          <w:w w:val="95"/>
          <w:sz w:val="44"/>
        </w:rPr>
        <w:t>条</w:t>
      </w:r>
      <w:r>
        <w:rPr>
          <w:b/>
          <w:spacing w:val="-10"/>
          <w:w w:val="95"/>
          <w:sz w:val="44"/>
        </w:rPr>
        <w:t>款</w:t>
      </w:r>
    </w:p>
    <w:p>
      <w:pPr>
        <w:spacing w:before="317"/>
        <w:ind w:left="1023" w:right="2341" w:firstLine="0"/>
        <w:jc w:val="center"/>
        <w:rPr>
          <w:b/>
          <w:sz w:val="32"/>
        </w:rPr>
      </w:pPr>
      <w:r>
        <w:rPr>
          <w:b/>
          <w:spacing w:val="-4"/>
          <w:sz w:val="32"/>
        </w:rPr>
        <w:t>目  录</w:t>
      </w:r>
    </w:p>
    <w:sdt>
      <w:sdtPr>
        <w:docPartObj>
          <w:docPartGallery w:val="Table of Contents"/>
          <w:docPartUnique/>
        </w:docPartObj>
      </w:sdtPr>
      <w:sdtEndPr/>
      <w:sdtContent>
        <w:p>
          <w:pPr>
            <w:pStyle w:val="TOC1"/>
            <w:tabs>
              <w:tab w:pos="8541" w:val="right" w:leader="dot"/>
            </w:tabs>
            <w:spacing w:before="132"/>
            <w:rPr>
              <w:rFonts w:ascii="Times New Roman" w:eastAsia="Times New Roman"/>
            </w:rPr>
          </w:pPr>
          <w:hyperlink w:history="true" w:anchor="_bookmark0">
            <w:r>
              <w:rPr/>
              <w:t>第一部分</w:t>
            </w:r>
            <w:r>
              <w:rPr>
                <w:spacing w:val="-1"/>
              </w:rPr>
              <w:t> </w:t>
            </w:r>
            <w:r>
              <w:rPr/>
              <w:t>总</w:t>
            </w:r>
            <w:r>
              <w:rPr>
                <w:spacing w:val="-10"/>
              </w:rPr>
              <w:t>则</w:t>
            </w:r>
            <w:r>
              <w:rPr>
                <w:rFonts w:ascii="Times New Roman" w:eastAsia="Times New Roman"/>
                <w:b w:val="0"/>
              </w:rPr>
              <w:tab/>
            </w:r>
            <w:r>
              <w:rPr>
                <w:rFonts w:ascii="Times New Roman" w:eastAsia="Times New Roman"/>
                <w:spacing w:val="-10"/>
                <w:w w:val="95"/>
              </w:rPr>
              <w:t>2</w:t>
            </w:r>
          </w:hyperlink>
        </w:p>
        <w:p>
          <w:pPr>
            <w:pStyle w:val="TOC2"/>
            <w:tabs>
              <w:tab w:pos="1709" w:val="left" w:leader="none"/>
              <w:tab w:pos="8541" w:val="right" w:leader="dot"/>
            </w:tabs>
            <w:rPr>
              <w:rFonts w:ascii="Times New Roman" w:eastAsia="Times New Roman"/>
              <w:b w:val="0"/>
            </w:rPr>
          </w:pPr>
          <w:hyperlink w:history="true" w:anchor="_bookmark1">
            <w:r>
              <w:rPr/>
              <w:t>第一</w:t>
            </w:r>
            <w:r>
              <w:rPr>
                <w:spacing w:val="-10"/>
              </w:rPr>
              <w:t>条</w:t>
            </w:r>
            <w:r>
              <w:rPr/>
              <w:tab/>
              <w:t>合同构</w:t>
            </w:r>
            <w:r>
              <w:rPr>
                <w:spacing w:val="-10"/>
              </w:rPr>
              <w:t>成</w:t>
            </w:r>
            <w:r>
              <w:rPr>
                <w:rFonts w:ascii="Times New Roman" w:eastAsia="Times New Roman"/>
                <w:b w:val="0"/>
              </w:rPr>
              <w:tab/>
            </w:r>
            <w:r>
              <w:rPr>
                <w:rFonts w:ascii="Times New Roman" w:eastAsia="Times New Roman"/>
                <w:b w:val="0"/>
                <w:spacing w:val="-10"/>
              </w:rPr>
              <w:t>2</w:t>
            </w:r>
          </w:hyperlink>
        </w:p>
        <w:p>
          <w:pPr>
            <w:pStyle w:val="TOC2"/>
            <w:tabs>
              <w:tab w:pos="1709" w:val="left" w:leader="none"/>
              <w:tab w:pos="8541" w:val="right" w:leader="dot"/>
            </w:tabs>
            <w:rPr>
              <w:rFonts w:ascii="Times New Roman" w:eastAsia="Times New Roman"/>
              <w:b w:val="0"/>
            </w:rPr>
          </w:pPr>
          <w:hyperlink w:history="true" w:anchor="_bookmark2">
            <w:r>
              <w:rPr/>
              <w:t>第二</w:t>
            </w:r>
            <w:r>
              <w:rPr>
                <w:spacing w:val="-10"/>
              </w:rPr>
              <w:t>条</w:t>
            </w:r>
            <w:r>
              <w:rPr/>
              <w:tab/>
              <w:t>合同成立与生</w:t>
            </w:r>
            <w:r>
              <w:rPr>
                <w:spacing w:val="-10"/>
              </w:rPr>
              <w:t>效</w:t>
            </w:r>
            <w:r>
              <w:rPr>
                <w:rFonts w:ascii="Times New Roman" w:eastAsia="Times New Roman"/>
                <w:b w:val="0"/>
              </w:rPr>
              <w:tab/>
            </w:r>
            <w:r>
              <w:rPr>
                <w:rFonts w:ascii="Times New Roman" w:eastAsia="Times New Roman"/>
                <w:b w:val="0"/>
                <w:spacing w:val="-10"/>
              </w:rPr>
              <w:t>2</w:t>
            </w:r>
          </w:hyperlink>
        </w:p>
        <w:p>
          <w:pPr>
            <w:pStyle w:val="TOC3"/>
            <w:tabs>
              <w:tab w:pos="1709" w:val="left" w:leader="none"/>
              <w:tab w:pos="8541" w:val="right" w:leader="dot"/>
            </w:tabs>
            <w:rPr>
              <w:rFonts w:ascii="Times New Roman" w:eastAsia="Times New Roman"/>
              <w:b w:val="0"/>
              <w:i w:val="0"/>
              <w:sz w:val="21"/>
            </w:rPr>
          </w:pPr>
          <w:hyperlink w:history="true" w:anchor="_bookmark3">
            <w:r>
              <w:rPr>
                <w:i w:val="0"/>
                <w:sz w:val="21"/>
              </w:rPr>
              <w:t>第三</w:t>
            </w:r>
            <w:r>
              <w:rPr>
                <w:i w:val="0"/>
                <w:spacing w:val="-10"/>
                <w:sz w:val="21"/>
              </w:rPr>
              <w:t>条</w:t>
            </w:r>
            <w:r>
              <w:rPr>
                <w:i w:val="0"/>
                <w:sz w:val="21"/>
              </w:rPr>
              <w:tab/>
              <w:t>犹豫</w:t>
            </w:r>
            <w:r>
              <w:rPr>
                <w:i w:val="0"/>
                <w:spacing w:val="-10"/>
                <w:sz w:val="21"/>
              </w:rPr>
              <w:t>期</w:t>
            </w:r>
            <w:r>
              <w:rPr>
                <w:rFonts w:ascii="Times New Roman" w:eastAsia="Times New Roman"/>
                <w:b w:val="0"/>
                <w:i w:val="0"/>
                <w:sz w:val="21"/>
              </w:rPr>
              <w:tab/>
            </w:r>
            <w:r>
              <w:rPr>
                <w:rFonts w:ascii="Times New Roman" w:eastAsia="Times New Roman"/>
                <w:b w:val="0"/>
                <w:i w:val="0"/>
                <w:spacing w:val="-10"/>
                <w:sz w:val="21"/>
              </w:rPr>
              <w:t>2</w:t>
            </w:r>
          </w:hyperlink>
        </w:p>
        <w:p>
          <w:pPr>
            <w:pStyle w:val="TOC2"/>
            <w:tabs>
              <w:tab w:pos="1709" w:val="left" w:leader="none"/>
              <w:tab w:pos="8541" w:val="right" w:leader="dot"/>
            </w:tabs>
            <w:rPr>
              <w:rFonts w:ascii="Times New Roman" w:eastAsia="Times New Roman"/>
              <w:b w:val="0"/>
            </w:rPr>
          </w:pPr>
          <w:hyperlink w:history="true" w:anchor="_bookmark4">
            <w:r>
              <w:rPr/>
              <w:t>第四</w:t>
            </w:r>
            <w:r>
              <w:rPr>
                <w:spacing w:val="-10"/>
              </w:rPr>
              <w:t>条</w:t>
            </w:r>
            <w:r>
              <w:rPr/>
              <w:tab/>
              <w:t>明确说明与如实告</w:t>
            </w:r>
            <w:r>
              <w:rPr>
                <w:spacing w:val="-10"/>
              </w:rPr>
              <w:t>知</w:t>
            </w:r>
            <w:r>
              <w:rPr>
                <w:rFonts w:ascii="Times New Roman" w:eastAsia="Times New Roman"/>
                <w:b w:val="0"/>
              </w:rPr>
              <w:tab/>
            </w:r>
            <w:r>
              <w:rPr>
                <w:rFonts w:ascii="Times New Roman" w:eastAsia="Times New Roman"/>
                <w:b w:val="0"/>
                <w:spacing w:val="-10"/>
              </w:rPr>
              <w:t>2</w:t>
            </w:r>
          </w:hyperlink>
        </w:p>
        <w:p>
          <w:pPr>
            <w:pStyle w:val="TOC2"/>
            <w:tabs>
              <w:tab w:pos="1709" w:val="left" w:leader="none"/>
              <w:tab w:pos="8541" w:val="right" w:leader="dot"/>
            </w:tabs>
            <w:rPr>
              <w:rFonts w:ascii="Times New Roman" w:eastAsia="Times New Roman"/>
              <w:b w:val="0"/>
            </w:rPr>
          </w:pPr>
          <w:hyperlink w:history="true" w:anchor="_bookmark5">
            <w:r>
              <w:rPr/>
              <w:t>第五</w:t>
            </w:r>
            <w:r>
              <w:rPr>
                <w:spacing w:val="-10"/>
              </w:rPr>
              <w:t>条</w:t>
            </w:r>
            <w:r>
              <w:rPr/>
              <w:tab/>
            </w:r>
            <w:r>
              <w:rPr>
                <w:spacing w:val="-2"/>
              </w:rPr>
              <w:t>本</w:t>
            </w:r>
            <w:r>
              <w:rPr>
                <w:spacing w:val="-2"/>
              </w:rPr>
              <w:t>公</w:t>
            </w:r>
            <w:r>
              <w:rPr>
                <w:spacing w:val="-2"/>
              </w:rPr>
              <w:t>司</w:t>
            </w:r>
            <w:r>
              <w:rPr>
                <w:spacing w:val="-2"/>
              </w:rPr>
              <w:t>合</w:t>
            </w:r>
            <w:r>
              <w:rPr>
                <w:spacing w:val="-2"/>
              </w:rPr>
              <w:t>同</w:t>
            </w:r>
            <w:r>
              <w:rPr>
                <w:spacing w:val="-2"/>
              </w:rPr>
              <w:t>解</w:t>
            </w:r>
            <w:r>
              <w:rPr>
                <w:spacing w:val="-2"/>
              </w:rPr>
              <w:t>除</w:t>
            </w:r>
            <w:r>
              <w:rPr>
                <w:spacing w:val="-2"/>
              </w:rPr>
              <w:t>权</w:t>
            </w:r>
            <w:r>
              <w:rPr>
                <w:spacing w:val="-2"/>
              </w:rPr>
              <w:t>的</w:t>
            </w:r>
            <w:r>
              <w:rPr>
                <w:spacing w:val="-2"/>
              </w:rPr>
              <w:t>限</w:t>
            </w:r>
            <w:r>
              <w:rPr>
                <w:spacing w:val="-10"/>
              </w:rPr>
              <w:t>制</w:t>
            </w:r>
            <w:r>
              <w:rPr>
                <w:rFonts w:ascii="Times New Roman" w:eastAsia="Times New Roman"/>
                <w:b w:val="0"/>
              </w:rPr>
              <w:tab/>
            </w:r>
            <w:r>
              <w:rPr>
                <w:rFonts w:ascii="Times New Roman" w:eastAsia="Times New Roman"/>
                <w:b w:val="0"/>
                <w:spacing w:val="-10"/>
              </w:rPr>
              <w:t>2</w:t>
            </w:r>
          </w:hyperlink>
        </w:p>
        <w:p>
          <w:pPr>
            <w:pStyle w:val="TOC1"/>
            <w:tabs>
              <w:tab w:pos="8541" w:val="right" w:leader="dot"/>
            </w:tabs>
            <w:rPr>
              <w:rFonts w:ascii="Times New Roman" w:eastAsia="Times New Roman"/>
            </w:rPr>
          </w:pPr>
          <w:hyperlink w:history="true" w:anchor="_bookmark6">
            <w:r>
              <w:rPr/>
              <w:t>第二部分</w:t>
            </w:r>
            <w:r>
              <w:rPr>
                <w:spacing w:val="-4"/>
              </w:rPr>
              <w:t> </w:t>
            </w:r>
            <w:r>
              <w:rPr/>
              <w:t>保障利益条</w:t>
            </w:r>
            <w:r>
              <w:rPr>
                <w:spacing w:val="-10"/>
              </w:rPr>
              <w:t>款</w:t>
            </w:r>
            <w:r>
              <w:rPr>
                <w:rFonts w:ascii="Times New Roman" w:eastAsia="Times New Roman"/>
                <w:b w:val="0"/>
              </w:rPr>
              <w:tab/>
            </w:r>
            <w:r>
              <w:rPr>
                <w:rFonts w:ascii="Times New Roman" w:eastAsia="Times New Roman"/>
                <w:spacing w:val="-10"/>
              </w:rPr>
              <w:t>2</w:t>
            </w:r>
          </w:hyperlink>
        </w:p>
        <w:p>
          <w:pPr>
            <w:pStyle w:val="TOC2"/>
            <w:tabs>
              <w:tab w:pos="1709" w:val="left" w:leader="none"/>
              <w:tab w:pos="8541" w:val="right" w:leader="dot"/>
            </w:tabs>
            <w:rPr>
              <w:rFonts w:ascii="Times New Roman" w:eastAsia="Times New Roman"/>
              <w:b w:val="0"/>
            </w:rPr>
          </w:pPr>
          <w:hyperlink w:history="true" w:anchor="_bookmark7">
            <w:r>
              <w:rPr/>
              <w:t>第六</w:t>
            </w:r>
            <w:r>
              <w:rPr>
                <w:spacing w:val="-10"/>
              </w:rPr>
              <w:t>条</w:t>
            </w:r>
            <w:r>
              <w:rPr/>
              <w:tab/>
              <w:t>投保人、被保险</w:t>
            </w:r>
            <w:r>
              <w:rPr>
                <w:spacing w:val="-10"/>
              </w:rPr>
              <w:t>人</w:t>
            </w:r>
            <w:r>
              <w:rPr>
                <w:rFonts w:ascii="Times New Roman" w:eastAsia="Times New Roman"/>
                <w:b w:val="0"/>
              </w:rPr>
              <w:tab/>
            </w:r>
            <w:r>
              <w:rPr>
                <w:rFonts w:ascii="Times New Roman" w:eastAsia="Times New Roman"/>
                <w:b w:val="0"/>
                <w:spacing w:val="-10"/>
              </w:rPr>
              <w:t>3</w:t>
            </w:r>
          </w:hyperlink>
        </w:p>
        <w:p>
          <w:pPr>
            <w:pStyle w:val="TOC3"/>
            <w:tabs>
              <w:tab w:pos="1709" w:val="left" w:leader="none"/>
              <w:tab w:pos="8541" w:val="right" w:leader="dot"/>
            </w:tabs>
            <w:rPr>
              <w:rFonts w:ascii="Times New Roman" w:eastAsia="Times New Roman"/>
              <w:b w:val="0"/>
              <w:i w:val="0"/>
              <w:sz w:val="21"/>
            </w:rPr>
          </w:pPr>
          <w:hyperlink w:history="true" w:anchor="_bookmark8">
            <w:r>
              <w:rPr>
                <w:i w:val="0"/>
                <w:sz w:val="21"/>
              </w:rPr>
              <w:t>第七</w:t>
            </w:r>
            <w:r>
              <w:rPr>
                <w:i w:val="0"/>
                <w:spacing w:val="-10"/>
                <w:sz w:val="21"/>
              </w:rPr>
              <w:t>条</w:t>
            </w:r>
            <w:r>
              <w:rPr>
                <w:i w:val="0"/>
                <w:sz w:val="21"/>
              </w:rPr>
              <w:tab/>
              <w:t>等待</w:t>
            </w:r>
            <w:r>
              <w:rPr>
                <w:i w:val="0"/>
                <w:spacing w:val="-10"/>
                <w:sz w:val="21"/>
              </w:rPr>
              <w:t>期</w:t>
            </w:r>
            <w:r>
              <w:rPr>
                <w:rFonts w:ascii="Times New Roman" w:eastAsia="Times New Roman"/>
                <w:b w:val="0"/>
                <w:i w:val="0"/>
                <w:sz w:val="21"/>
              </w:rPr>
              <w:tab/>
            </w:r>
            <w:r>
              <w:rPr>
                <w:rFonts w:ascii="Times New Roman" w:eastAsia="Times New Roman"/>
                <w:b w:val="0"/>
                <w:i w:val="0"/>
                <w:spacing w:val="-10"/>
                <w:sz w:val="21"/>
              </w:rPr>
              <w:t>3</w:t>
            </w:r>
          </w:hyperlink>
        </w:p>
        <w:p>
          <w:pPr>
            <w:pStyle w:val="TOC2"/>
            <w:tabs>
              <w:tab w:pos="1709" w:val="left" w:leader="none"/>
              <w:tab w:pos="8541" w:val="right" w:leader="dot"/>
            </w:tabs>
            <w:rPr>
              <w:rFonts w:ascii="Times New Roman" w:eastAsia="Times New Roman"/>
              <w:b w:val="0"/>
            </w:rPr>
          </w:pPr>
          <w:hyperlink w:history="true" w:anchor="_bookmark9">
            <w:r>
              <w:rPr/>
              <w:t>第八</w:t>
            </w:r>
            <w:r>
              <w:rPr>
                <w:spacing w:val="-10"/>
              </w:rPr>
              <w:t>条</w:t>
            </w:r>
            <w:r>
              <w:rPr/>
              <w:tab/>
              <w:t>保险责</w:t>
            </w:r>
            <w:r>
              <w:rPr>
                <w:spacing w:val="-10"/>
              </w:rPr>
              <w:t>任</w:t>
            </w:r>
            <w:r>
              <w:rPr>
                <w:rFonts w:ascii="Times New Roman" w:eastAsia="Times New Roman"/>
                <w:b w:val="0"/>
              </w:rPr>
              <w:tab/>
            </w:r>
            <w:r>
              <w:rPr>
                <w:rFonts w:ascii="Times New Roman" w:eastAsia="Times New Roman"/>
                <w:b w:val="0"/>
                <w:spacing w:val="-10"/>
              </w:rPr>
              <w:t>3</w:t>
            </w:r>
          </w:hyperlink>
        </w:p>
        <w:p>
          <w:pPr>
            <w:pStyle w:val="TOC2"/>
            <w:tabs>
              <w:tab w:pos="1709" w:val="left" w:leader="none"/>
              <w:tab w:pos="8541" w:val="right" w:leader="dot"/>
            </w:tabs>
            <w:rPr>
              <w:rFonts w:ascii="Times New Roman" w:eastAsia="Times New Roman"/>
              <w:b w:val="0"/>
            </w:rPr>
          </w:pPr>
          <w:hyperlink w:history="true" w:anchor="_bookmark10">
            <w:r>
              <w:rPr/>
              <w:t>第九</w:t>
            </w:r>
            <w:r>
              <w:rPr>
                <w:spacing w:val="-10"/>
              </w:rPr>
              <w:t>条</w:t>
            </w:r>
            <w:r>
              <w:rPr/>
              <w:tab/>
            </w:r>
            <w:r>
              <w:rPr>
                <w:rFonts w:ascii="黑体" w:eastAsia="黑体" w:hint="eastAsia"/>
              </w:rPr>
              <w:t>责任免</w:t>
            </w:r>
            <w:r>
              <w:rPr>
                <w:rFonts w:ascii="黑体" w:eastAsia="黑体" w:hint="eastAsia"/>
                <w:spacing w:val="-10"/>
              </w:rPr>
              <w:t>除</w:t>
            </w:r>
            <w:r>
              <w:rPr>
                <w:rFonts w:ascii="Times New Roman" w:eastAsia="Times New Roman"/>
                <w:b w:val="0"/>
              </w:rPr>
              <w:tab/>
            </w:r>
            <w:r>
              <w:rPr>
                <w:rFonts w:ascii="Times New Roman" w:eastAsia="Times New Roman"/>
                <w:b w:val="0"/>
                <w:spacing w:val="-10"/>
              </w:rPr>
              <w:t>6</w:t>
            </w:r>
          </w:hyperlink>
        </w:p>
        <w:p>
          <w:pPr>
            <w:pStyle w:val="TOC2"/>
            <w:tabs>
              <w:tab w:pos="1709" w:val="left" w:leader="none"/>
              <w:tab w:pos="8541" w:val="right" w:leader="dot"/>
            </w:tabs>
            <w:rPr>
              <w:rFonts w:ascii="Times New Roman" w:eastAsia="Times New Roman"/>
              <w:b w:val="0"/>
            </w:rPr>
          </w:pPr>
          <w:hyperlink w:history="true" w:anchor="_bookmark11">
            <w:r>
              <w:rPr/>
              <w:t>第十</w:t>
            </w:r>
            <w:r>
              <w:rPr>
                <w:spacing w:val="-10"/>
              </w:rPr>
              <w:t>条</w:t>
            </w:r>
            <w:r>
              <w:rPr/>
              <w:tab/>
            </w:r>
            <w:r>
              <w:rPr>
                <w:rFonts w:ascii="黑体" w:eastAsia="黑体" w:hint="eastAsia"/>
              </w:rPr>
              <w:t>其他免责条</w:t>
            </w:r>
            <w:r>
              <w:rPr>
                <w:rFonts w:ascii="黑体" w:eastAsia="黑体" w:hint="eastAsia"/>
                <w:spacing w:val="-10"/>
              </w:rPr>
              <w:t>款</w:t>
            </w:r>
            <w:r>
              <w:rPr>
                <w:rFonts w:ascii="Times New Roman" w:eastAsia="Times New Roman"/>
                <w:b w:val="0"/>
              </w:rPr>
              <w:tab/>
            </w:r>
            <w:r>
              <w:rPr>
                <w:rFonts w:ascii="Times New Roman" w:eastAsia="Times New Roman"/>
                <w:b w:val="0"/>
                <w:spacing w:val="-10"/>
              </w:rPr>
              <w:t>7</w:t>
            </w:r>
          </w:hyperlink>
        </w:p>
        <w:p>
          <w:pPr>
            <w:pStyle w:val="TOC2"/>
            <w:tabs>
              <w:tab w:pos="8541" w:val="right" w:leader="dot"/>
            </w:tabs>
            <w:rPr>
              <w:rFonts w:ascii="Times New Roman" w:eastAsia="Times New Roman"/>
              <w:b w:val="0"/>
            </w:rPr>
          </w:pPr>
          <w:hyperlink w:history="true" w:anchor="_bookmark12">
            <w:r>
              <w:rPr/>
              <w:t>第十一条</w:t>
            </w:r>
            <w:r>
              <w:rPr>
                <w:spacing w:val="46"/>
                <w:w w:val="150"/>
              </w:rPr>
              <w:t> </w:t>
            </w:r>
            <w:r>
              <w:rPr/>
              <w:t>保险期</w:t>
            </w:r>
            <w:r>
              <w:rPr>
                <w:spacing w:val="-10"/>
              </w:rPr>
              <w:t>间</w:t>
            </w:r>
            <w:r>
              <w:rPr>
                <w:rFonts w:ascii="Times New Roman" w:eastAsia="Times New Roman"/>
                <w:b w:val="0"/>
              </w:rPr>
              <w:tab/>
            </w:r>
            <w:r>
              <w:rPr>
                <w:rFonts w:ascii="Times New Roman" w:eastAsia="Times New Roman"/>
                <w:b w:val="0"/>
                <w:spacing w:val="-10"/>
              </w:rPr>
              <w:t>7</w:t>
            </w:r>
          </w:hyperlink>
        </w:p>
        <w:p>
          <w:pPr>
            <w:pStyle w:val="TOC2"/>
            <w:tabs>
              <w:tab w:pos="8541" w:val="right" w:leader="dot"/>
            </w:tabs>
            <w:rPr>
              <w:rFonts w:ascii="Times New Roman" w:eastAsia="Times New Roman"/>
              <w:b w:val="0"/>
            </w:rPr>
          </w:pPr>
          <w:hyperlink w:history="true" w:anchor="_bookmark13">
            <w:r>
              <w:rPr/>
              <w:t>第十二条</w:t>
            </w:r>
            <w:r>
              <w:rPr>
                <w:spacing w:val="94"/>
              </w:rPr>
              <w:t> </w:t>
            </w:r>
            <w:r>
              <w:rPr/>
              <w:t>基本保险金额和保险</w:t>
            </w:r>
            <w:r>
              <w:rPr>
                <w:spacing w:val="-10"/>
              </w:rPr>
              <w:t>费</w:t>
            </w:r>
            <w:r>
              <w:rPr>
                <w:rFonts w:ascii="Times New Roman" w:eastAsia="Times New Roman"/>
                <w:b w:val="0"/>
              </w:rPr>
              <w:tab/>
            </w:r>
            <w:r>
              <w:rPr>
                <w:rFonts w:ascii="Times New Roman" w:eastAsia="Times New Roman"/>
                <w:b w:val="0"/>
                <w:spacing w:val="-10"/>
              </w:rPr>
              <w:t>7</w:t>
            </w:r>
          </w:hyperlink>
        </w:p>
        <w:p>
          <w:pPr>
            <w:pStyle w:val="TOC2"/>
            <w:tabs>
              <w:tab w:pos="8541" w:val="right" w:leader="dot"/>
            </w:tabs>
            <w:rPr>
              <w:rFonts w:ascii="Times New Roman" w:eastAsia="Times New Roman"/>
              <w:b w:val="0"/>
            </w:rPr>
          </w:pPr>
          <w:hyperlink w:history="true" w:anchor="_bookmark14">
            <w:r>
              <w:rPr/>
              <w:t>第十三条</w:t>
            </w:r>
            <w:r>
              <w:rPr>
                <w:spacing w:val="46"/>
                <w:w w:val="150"/>
              </w:rPr>
              <w:t> </w:t>
            </w:r>
            <w:r>
              <w:rPr/>
              <w:t>宽限</w:t>
            </w:r>
            <w:r>
              <w:rPr>
                <w:spacing w:val="-10"/>
              </w:rPr>
              <w:t>期</w:t>
            </w:r>
            <w:r>
              <w:rPr>
                <w:rFonts w:ascii="Times New Roman" w:eastAsia="Times New Roman"/>
                <w:b w:val="0"/>
              </w:rPr>
              <w:tab/>
            </w:r>
            <w:r>
              <w:rPr>
                <w:rFonts w:ascii="Times New Roman" w:eastAsia="Times New Roman"/>
                <w:b w:val="0"/>
                <w:spacing w:val="-10"/>
              </w:rPr>
              <w:t>7</w:t>
            </w:r>
          </w:hyperlink>
        </w:p>
        <w:p>
          <w:pPr>
            <w:pStyle w:val="TOC1"/>
            <w:tabs>
              <w:tab w:pos="8541" w:val="right" w:leader="dot"/>
            </w:tabs>
            <w:rPr>
              <w:rFonts w:ascii="Times New Roman" w:eastAsia="Times New Roman"/>
            </w:rPr>
          </w:pPr>
          <w:hyperlink w:history="true" w:anchor="_bookmark15">
            <w:r>
              <w:rPr/>
              <w:t>第三部分</w:t>
            </w:r>
            <w:r>
              <w:rPr>
                <w:spacing w:val="-4"/>
              </w:rPr>
              <w:t> </w:t>
            </w:r>
            <w:r>
              <w:rPr/>
              <w:t>保险服务条</w:t>
            </w:r>
            <w:r>
              <w:rPr>
                <w:spacing w:val="-10"/>
              </w:rPr>
              <w:t>款</w:t>
            </w:r>
            <w:r>
              <w:rPr>
                <w:rFonts w:ascii="Times New Roman" w:eastAsia="Times New Roman"/>
                <w:b w:val="0"/>
              </w:rPr>
              <w:tab/>
            </w:r>
            <w:r>
              <w:rPr>
                <w:rFonts w:ascii="Times New Roman" w:eastAsia="Times New Roman"/>
                <w:spacing w:val="-10"/>
              </w:rPr>
              <w:t>8</w:t>
            </w:r>
          </w:hyperlink>
        </w:p>
        <w:p>
          <w:pPr>
            <w:pStyle w:val="TOC2"/>
            <w:tabs>
              <w:tab w:pos="8541" w:val="right" w:leader="dot"/>
            </w:tabs>
            <w:rPr>
              <w:rFonts w:ascii="Times New Roman" w:eastAsia="Times New Roman"/>
              <w:b w:val="0"/>
            </w:rPr>
          </w:pPr>
          <w:hyperlink w:history="true" w:anchor="_bookmark16">
            <w:r>
              <w:rPr/>
              <w:t>第十四条</w:t>
            </w:r>
            <w:r>
              <w:rPr>
                <w:spacing w:val="46"/>
                <w:w w:val="150"/>
              </w:rPr>
              <w:t> </w:t>
            </w:r>
            <w:r>
              <w:rPr/>
              <w:t>保险单贷</w:t>
            </w:r>
            <w:r>
              <w:rPr>
                <w:spacing w:val="-10"/>
              </w:rPr>
              <w:t>款</w:t>
            </w:r>
            <w:r>
              <w:rPr>
                <w:rFonts w:ascii="Times New Roman" w:eastAsia="Times New Roman"/>
                <w:b w:val="0"/>
              </w:rPr>
              <w:tab/>
            </w:r>
            <w:r>
              <w:rPr>
                <w:rFonts w:ascii="Times New Roman" w:eastAsia="Times New Roman"/>
                <w:b w:val="0"/>
                <w:spacing w:val="-10"/>
              </w:rPr>
              <w:t>8</w:t>
            </w:r>
          </w:hyperlink>
        </w:p>
        <w:p>
          <w:pPr>
            <w:pStyle w:val="TOC2"/>
            <w:tabs>
              <w:tab w:pos="8541" w:val="right" w:leader="dot"/>
            </w:tabs>
            <w:rPr>
              <w:rFonts w:ascii="Times New Roman" w:eastAsia="Times New Roman"/>
              <w:b w:val="0"/>
            </w:rPr>
          </w:pPr>
          <w:hyperlink w:history="true" w:anchor="_bookmark17">
            <w:r>
              <w:rPr/>
              <w:t>第十五条</w:t>
            </w:r>
            <w:r>
              <w:rPr>
                <w:spacing w:val="46"/>
                <w:w w:val="150"/>
              </w:rPr>
              <w:t> </w:t>
            </w:r>
            <w:r>
              <w:rPr/>
              <w:t>合同内容变</w:t>
            </w:r>
            <w:r>
              <w:rPr>
                <w:spacing w:val="-10"/>
              </w:rPr>
              <w:t>更</w:t>
            </w:r>
            <w:r>
              <w:rPr>
                <w:rFonts w:ascii="Times New Roman" w:eastAsia="Times New Roman"/>
                <w:b w:val="0"/>
              </w:rPr>
              <w:tab/>
            </w:r>
            <w:r>
              <w:rPr>
                <w:rFonts w:ascii="Times New Roman" w:eastAsia="Times New Roman"/>
                <w:b w:val="0"/>
                <w:spacing w:val="-10"/>
              </w:rPr>
              <w:t>8</w:t>
            </w:r>
          </w:hyperlink>
        </w:p>
        <w:p>
          <w:pPr>
            <w:pStyle w:val="TOC2"/>
            <w:tabs>
              <w:tab w:pos="8541" w:val="right" w:leader="dot"/>
            </w:tabs>
            <w:rPr>
              <w:rFonts w:ascii="Times New Roman" w:eastAsia="Times New Roman"/>
              <w:b w:val="0"/>
            </w:rPr>
          </w:pPr>
          <w:hyperlink w:history="true" w:anchor="_bookmark18">
            <w:r>
              <w:rPr/>
              <w:t>第十六条</w:t>
            </w:r>
            <w:r>
              <w:rPr>
                <w:spacing w:val="99"/>
              </w:rPr>
              <w:t> </w:t>
            </w:r>
            <w:r>
              <w:rPr/>
              <w:t>受益人指定和变</w:t>
            </w:r>
            <w:r>
              <w:rPr>
                <w:spacing w:val="-10"/>
              </w:rPr>
              <w:t>更</w:t>
            </w:r>
            <w:r>
              <w:rPr>
                <w:rFonts w:ascii="Times New Roman" w:eastAsia="Times New Roman"/>
                <w:b w:val="0"/>
              </w:rPr>
              <w:tab/>
            </w:r>
            <w:r>
              <w:rPr>
                <w:rFonts w:ascii="Times New Roman" w:eastAsia="Times New Roman"/>
                <w:b w:val="0"/>
                <w:spacing w:val="-10"/>
              </w:rPr>
              <w:t>8</w:t>
            </w:r>
          </w:hyperlink>
        </w:p>
        <w:p>
          <w:pPr>
            <w:pStyle w:val="TOC2"/>
            <w:tabs>
              <w:tab w:pos="8541" w:val="right" w:leader="dot"/>
            </w:tabs>
            <w:rPr>
              <w:rFonts w:ascii="Times New Roman" w:eastAsia="Times New Roman"/>
              <w:b w:val="0"/>
            </w:rPr>
          </w:pPr>
          <w:hyperlink w:history="true" w:anchor="_bookmark19">
            <w:r>
              <w:rPr/>
              <w:t>第十七条</w:t>
            </w:r>
            <w:r>
              <w:rPr>
                <w:spacing w:val="46"/>
                <w:w w:val="150"/>
              </w:rPr>
              <w:t> </w:t>
            </w:r>
            <w:r>
              <w:rPr/>
              <w:t>联系方式变</w:t>
            </w:r>
            <w:r>
              <w:rPr>
                <w:spacing w:val="-10"/>
              </w:rPr>
              <w:t>更</w:t>
            </w:r>
            <w:r>
              <w:rPr>
                <w:rFonts w:ascii="Times New Roman" w:eastAsia="Times New Roman"/>
                <w:b w:val="0"/>
              </w:rPr>
              <w:tab/>
            </w:r>
            <w:r>
              <w:rPr>
                <w:rFonts w:ascii="Times New Roman" w:eastAsia="Times New Roman"/>
                <w:b w:val="0"/>
                <w:spacing w:val="-10"/>
              </w:rPr>
              <w:t>9</w:t>
            </w:r>
          </w:hyperlink>
        </w:p>
        <w:p>
          <w:pPr>
            <w:pStyle w:val="TOC2"/>
            <w:tabs>
              <w:tab w:pos="8541" w:val="right" w:leader="dot"/>
            </w:tabs>
            <w:rPr>
              <w:rFonts w:ascii="Times New Roman" w:eastAsia="Times New Roman"/>
              <w:b w:val="0"/>
            </w:rPr>
          </w:pPr>
          <w:hyperlink w:history="true" w:anchor="_bookmark20">
            <w:r>
              <w:rPr/>
              <w:t>第十八条</w:t>
            </w:r>
            <w:r>
              <w:rPr>
                <w:spacing w:val="46"/>
                <w:w w:val="150"/>
              </w:rPr>
              <w:t> </w:t>
            </w:r>
            <w:r>
              <w:rPr/>
              <w:t>年龄性别错</w:t>
            </w:r>
            <w:r>
              <w:rPr>
                <w:spacing w:val="-10"/>
              </w:rPr>
              <w:t>误</w:t>
            </w:r>
            <w:r>
              <w:rPr>
                <w:rFonts w:ascii="Times New Roman" w:eastAsia="Times New Roman"/>
                <w:b w:val="0"/>
              </w:rPr>
              <w:tab/>
            </w:r>
            <w:r>
              <w:rPr>
                <w:rFonts w:ascii="Times New Roman" w:eastAsia="Times New Roman"/>
                <w:b w:val="0"/>
                <w:spacing w:val="-10"/>
              </w:rPr>
              <w:t>9</w:t>
            </w:r>
          </w:hyperlink>
        </w:p>
        <w:p>
          <w:pPr>
            <w:pStyle w:val="TOC2"/>
            <w:tabs>
              <w:tab w:pos="8541" w:val="right" w:leader="dot"/>
            </w:tabs>
            <w:spacing w:before="42"/>
            <w:rPr>
              <w:rFonts w:ascii="Times New Roman" w:eastAsia="Times New Roman"/>
              <w:b w:val="0"/>
            </w:rPr>
          </w:pPr>
          <w:hyperlink w:history="true" w:anchor="_bookmark21">
            <w:r>
              <w:rPr/>
              <w:t>第十九条</w:t>
            </w:r>
            <w:r>
              <w:rPr>
                <w:spacing w:val="46"/>
                <w:w w:val="150"/>
              </w:rPr>
              <w:t> </w:t>
            </w:r>
            <w:r>
              <w:rPr/>
              <w:t>未还款</w:t>
            </w:r>
            <w:r>
              <w:rPr>
                <w:spacing w:val="-10"/>
              </w:rPr>
              <w:t>项</w:t>
            </w:r>
            <w:r>
              <w:rPr>
                <w:rFonts w:ascii="Times New Roman" w:eastAsia="Times New Roman"/>
                <w:b w:val="0"/>
              </w:rPr>
              <w:tab/>
            </w:r>
            <w:r>
              <w:rPr>
                <w:rFonts w:ascii="Times New Roman" w:eastAsia="Times New Roman"/>
                <w:b w:val="0"/>
                <w:spacing w:val="-10"/>
              </w:rPr>
              <w:t>9</w:t>
            </w:r>
          </w:hyperlink>
        </w:p>
        <w:p>
          <w:pPr>
            <w:pStyle w:val="TOC2"/>
            <w:tabs>
              <w:tab w:pos="8541" w:val="right" w:leader="dot"/>
            </w:tabs>
            <w:rPr>
              <w:rFonts w:ascii="Times New Roman" w:eastAsia="Times New Roman"/>
              <w:b w:val="0"/>
            </w:rPr>
          </w:pPr>
          <w:hyperlink w:history="true" w:anchor="_bookmark22">
            <w:r>
              <w:rPr/>
              <w:t>第二十条</w:t>
            </w:r>
            <w:r>
              <w:rPr>
                <w:spacing w:val="46"/>
                <w:w w:val="150"/>
              </w:rPr>
              <w:t> </w:t>
            </w:r>
            <w:r>
              <w:rPr/>
              <w:t>合同中止与复</w:t>
            </w:r>
            <w:r>
              <w:rPr>
                <w:spacing w:val="-10"/>
              </w:rPr>
              <w:t>效</w:t>
            </w:r>
            <w:r>
              <w:rPr>
                <w:rFonts w:ascii="Times New Roman" w:eastAsia="Times New Roman"/>
                <w:b w:val="0"/>
              </w:rPr>
              <w:tab/>
            </w:r>
            <w:r>
              <w:rPr>
                <w:rFonts w:ascii="Times New Roman" w:eastAsia="Times New Roman"/>
                <w:b w:val="0"/>
                <w:spacing w:val="-10"/>
              </w:rPr>
              <w:t>9</w:t>
            </w:r>
          </w:hyperlink>
        </w:p>
        <w:p>
          <w:pPr>
            <w:pStyle w:val="TOC2"/>
            <w:tabs>
              <w:tab w:pos="8541" w:val="right" w:leader="dot"/>
            </w:tabs>
            <w:rPr>
              <w:rFonts w:ascii="Times New Roman" w:eastAsia="Times New Roman"/>
              <w:b w:val="0"/>
            </w:rPr>
          </w:pPr>
          <w:hyperlink w:history="true" w:anchor="_bookmark23">
            <w:r>
              <w:rPr/>
              <w:t>第二十一条</w:t>
            </w:r>
            <w:r>
              <w:rPr>
                <w:spacing w:val="102"/>
              </w:rPr>
              <w:t> </w:t>
            </w:r>
            <w:r>
              <w:rPr/>
              <w:t>合同解</w:t>
            </w:r>
            <w:r>
              <w:rPr>
                <w:spacing w:val="-10"/>
              </w:rPr>
              <w:t>除</w:t>
            </w:r>
            <w:r>
              <w:rPr>
                <w:rFonts w:ascii="Times New Roman" w:eastAsia="Times New Roman"/>
                <w:b w:val="0"/>
              </w:rPr>
              <w:tab/>
            </w:r>
            <w:r>
              <w:rPr>
                <w:rFonts w:ascii="Times New Roman" w:eastAsia="Times New Roman"/>
                <w:b w:val="0"/>
                <w:spacing w:val="-10"/>
                <w:w w:val="95"/>
              </w:rPr>
              <w:t>9</w:t>
            </w:r>
          </w:hyperlink>
        </w:p>
        <w:p>
          <w:pPr>
            <w:pStyle w:val="TOC1"/>
            <w:tabs>
              <w:tab w:pos="8541" w:val="right" w:leader="dot"/>
            </w:tabs>
            <w:rPr>
              <w:rFonts w:ascii="Times New Roman" w:eastAsia="Times New Roman"/>
            </w:rPr>
          </w:pPr>
          <w:hyperlink w:history="true" w:anchor="_bookmark24">
            <w:r>
              <w:rPr/>
              <w:t>第四部分</w:t>
            </w:r>
            <w:r>
              <w:rPr>
                <w:spacing w:val="-4"/>
              </w:rPr>
              <w:t> </w:t>
            </w:r>
            <w:r>
              <w:rPr/>
              <w:t>保险理赔条</w:t>
            </w:r>
            <w:r>
              <w:rPr>
                <w:spacing w:val="-10"/>
              </w:rPr>
              <w:t>款</w:t>
            </w:r>
            <w:r>
              <w:rPr>
                <w:rFonts w:ascii="Times New Roman" w:eastAsia="Times New Roman"/>
                <w:b w:val="0"/>
              </w:rPr>
              <w:tab/>
            </w:r>
            <w:r>
              <w:rPr>
                <w:rFonts w:ascii="Times New Roman" w:eastAsia="Times New Roman"/>
                <w:spacing w:val="-10"/>
              </w:rPr>
              <w:t>9</w:t>
            </w:r>
          </w:hyperlink>
        </w:p>
        <w:p>
          <w:pPr>
            <w:pStyle w:val="TOC2"/>
            <w:tabs>
              <w:tab w:pos="8541" w:val="right" w:leader="dot"/>
            </w:tabs>
            <w:rPr>
              <w:rFonts w:ascii="Times New Roman" w:eastAsia="Times New Roman"/>
              <w:b w:val="0"/>
            </w:rPr>
          </w:pPr>
          <w:hyperlink w:history="true" w:anchor="_bookmark25">
            <w:r>
              <w:rPr/>
              <w:t>第二十二条</w:t>
            </w:r>
            <w:r>
              <w:rPr>
                <w:spacing w:val="102"/>
              </w:rPr>
              <w:t> </w:t>
            </w:r>
            <w:r>
              <w:rPr/>
              <w:t>保险事故通</w:t>
            </w:r>
            <w:r>
              <w:rPr>
                <w:spacing w:val="-10"/>
                <w:w w:val="95"/>
              </w:rPr>
              <w:t>知</w:t>
            </w:r>
            <w:r>
              <w:rPr>
                <w:rFonts w:ascii="Times New Roman" w:eastAsia="Times New Roman"/>
                <w:b w:val="0"/>
              </w:rPr>
              <w:tab/>
            </w:r>
            <w:r>
              <w:rPr>
                <w:rFonts w:ascii="Times New Roman" w:eastAsia="Times New Roman"/>
                <w:b w:val="0"/>
                <w:spacing w:val="-10"/>
              </w:rPr>
              <w:t>9</w:t>
            </w:r>
          </w:hyperlink>
        </w:p>
        <w:p>
          <w:pPr>
            <w:pStyle w:val="TOC3"/>
            <w:tabs>
              <w:tab w:pos="8541" w:val="right" w:leader="dot"/>
            </w:tabs>
            <w:spacing w:before="44"/>
            <w:rPr>
              <w:rFonts w:ascii="Times New Roman" w:eastAsia="Times New Roman"/>
              <w:b w:val="0"/>
              <w:i w:val="0"/>
              <w:sz w:val="21"/>
            </w:rPr>
          </w:pPr>
          <w:hyperlink w:history="true" w:anchor="_bookmark26">
            <w:r>
              <w:rPr>
                <w:i w:val="0"/>
                <w:sz w:val="21"/>
              </w:rPr>
              <w:t>第二十三条</w:t>
            </w:r>
            <w:r>
              <w:rPr>
                <w:i w:val="0"/>
                <w:spacing w:val="102"/>
                <w:sz w:val="21"/>
              </w:rPr>
              <w:t> </w:t>
            </w:r>
            <w:r>
              <w:rPr>
                <w:i w:val="0"/>
                <w:sz w:val="21"/>
              </w:rPr>
              <w:t>保险金申</w:t>
            </w:r>
            <w:r>
              <w:rPr>
                <w:i w:val="0"/>
                <w:spacing w:val="-10"/>
                <w:sz w:val="21"/>
              </w:rPr>
              <w:t>请</w:t>
            </w:r>
            <w:r>
              <w:rPr>
                <w:rFonts w:ascii="Times New Roman" w:eastAsia="Times New Roman"/>
                <w:b w:val="0"/>
                <w:i w:val="0"/>
                <w:sz w:val="21"/>
              </w:rPr>
              <w:tab/>
            </w:r>
            <w:r>
              <w:rPr>
                <w:rFonts w:ascii="Times New Roman" w:eastAsia="Times New Roman"/>
                <w:b w:val="0"/>
                <w:i w:val="0"/>
                <w:spacing w:val="-7"/>
                <w:w w:val="95"/>
                <w:sz w:val="21"/>
              </w:rPr>
              <w:t>10</w:t>
            </w:r>
          </w:hyperlink>
        </w:p>
        <w:p>
          <w:pPr>
            <w:pStyle w:val="TOC3"/>
            <w:tabs>
              <w:tab w:pos="8536" w:val="right" w:leader="dot"/>
            </w:tabs>
            <w:rPr>
              <w:rFonts w:ascii="Times New Roman" w:eastAsia="Times New Roman"/>
              <w:b w:val="0"/>
              <w:i w:val="0"/>
              <w:sz w:val="21"/>
            </w:rPr>
          </w:pPr>
          <w:hyperlink w:history="true" w:anchor="_bookmark27">
            <w:r>
              <w:rPr>
                <w:i w:val="0"/>
                <w:sz w:val="21"/>
              </w:rPr>
              <w:t>第二十四条</w:t>
            </w:r>
            <w:r>
              <w:rPr>
                <w:i w:val="0"/>
                <w:spacing w:val="102"/>
                <w:sz w:val="21"/>
              </w:rPr>
              <w:t> </w:t>
            </w:r>
            <w:r>
              <w:rPr>
                <w:i w:val="0"/>
                <w:sz w:val="21"/>
              </w:rPr>
              <w:t>保险金给</w:t>
            </w:r>
            <w:r>
              <w:rPr>
                <w:i w:val="0"/>
                <w:spacing w:val="-10"/>
                <w:sz w:val="21"/>
              </w:rPr>
              <w:t>付</w:t>
            </w:r>
            <w:r>
              <w:rPr>
                <w:rFonts w:ascii="Times New Roman" w:eastAsia="Times New Roman"/>
                <w:b w:val="0"/>
                <w:i w:val="0"/>
                <w:sz w:val="21"/>
              </w:rPr>
              <w:tab/>
            </w:r>
            <w:r>
              <w:rPr>
                <w:rFonts w:ascii="Times New Roman" w:eastAsia="Times New Roman"/>
                <w:b w:val="0"/>
                <w:i w:val="0"/>
                <w:spacing w:val="-7"/>
                <w:sz w:val="21"/>
              </w:rPr>
              <w:t>11</w:t>
            </w:r>
          </w:hyperlink>
        </w:p>
        <w:p>
          <w:pPr>
            <w:pStyle w:val="TOC3"/>
            <w:tabs>
              <w:tab w:pos="8536" w:val="right" w:leader="dot"/>
            </w:tabs>
            <w:rPr>
              <w:rFonts w:ascii="Times New Roman" w:eastAsia="Times New Roman"/>
              <w:b w:val="0"/>
              <w:i w:val="0"/>
              <w:sz w:val="21"/>
            </w:rPr>
          </w:pPr>
          <w:hyperlink w:history="true" w:anchor="_bookmark28">
            <w:r>
              <w:rPr>
                <w:i w:val="0"/>
                <w:sz w:val="21"/>
              </w:rPr>
              <w:t>第二十五条</w:t>
            </w:r>
            <w:r>
              <w:rPr>
                <w:i w:val="0"/>
                <w:spacing w:val="102"/>
                <w:sz w:val="21"/>
              </w:rPr>
              <w:t> </w:t>
            </w:r>
            <w:r>
              <w:rPr>
                <w:i w:val="0"/>
                <w:sz w:val="21"/>
              </w:rPr>
              <w:t>诉讼时</w:t>
            </w:r>
            <w:r>
              <w:rPr>
                <w:i w:val="0"/>
                <w:spacing w:val="-10"/>
                <w:sz w:val="21"/>
              </w:rPr>
              <w:t>效</w:t>
            </w:r>
            <w:r>
              <w:rPr>
                <w:rFonts w:ascii="Times New Roman" w:eastAsia="Times New Roman"/>
                <w:b w:val="0"/>
                <w:i w:val="0"/>
                <w:sz w:val="21"/>
              </w:rPr>
              <w:tab/>
            </w:r>
            <w:r>
              <w:rPr>
                <w:rFonts w:ascii="Times New Roman" w:eastAsia="Times New Roman"/>
                <w:b w:val="0"/>
                <w:i w:val="0"/>
                <w:spacing w:val="-7"/>
                <w:sz w:val="21"/>
              </w:rPr>
              <w:t>11</w:t>
            </w:r>
          </w:hyperlink>
        </w:p>
        <w:p>
          <w:pPr>
            <w:pStyle w:val="TOC3"/>
            <w:tabs>
              <w:tab w:pos="8536" w:val="right" w:leader="dot"/>
            </w:tabs>
            <w:rPr>
              <w:rFonts w:ascii="Times New Roman" w:eastAsia="Times New Roman"/>
              <w:b w:val="0"/>
              <w:i w:val="0"/>
              <w:sz w:val="21"/>
            </w:rPr>
          </w:pPr>
          <w:hyperlink w:history="true" w:anchor="_bookmark29">
            <w:r>
              <w:rPr>
                <w:i w:val="0"/>
                <w:sz w:val="21"/>
              </w:rPr>
              <w:t>第二十六条</w:t>
            </w:r>
            <w:r>
              <w:rPr>
                <w:i w:val="0"/>
                <w:spacing w:val="102"/>
                <w:sz w:val="21"/>
              </w:rPr>
              <w:t> </w:t>
            </w:r>
            <w:r>
              <w:rPr>
                <w:i w:val="0"/>
                <w:sz w:val="21"/>
              </w:rPr>
              <w:t>争议处</w:t>
            </w:r>
            <w:r>
              <w:rPr>
                <w:i w:val="0"/>
                <w:spacing w:val="-10"/>
                <w:sz w:val="21"/>
              </w:rPr>
              <w:t>理</w:t>
            </w:r>
            <w:r>
              <w:rPr>
                <w:rFonts w:ascii="Times New Roman" w:eastAsia="Times New Roman"/>
                <w:b w:val="0"/>
                <w:i w:val="0"/>
                <w:sz w:val="21"/>
              </w:rPr>
              <w:tab/>
            </w:r>
            <w:r>
              <w:rPr>
                <w:rFonts w:ascii="Times New Roman" w:eastAsia="Times New Roman"/>
                <w:b w:val="0"/>
                <w:i w:val="0"/>
                <w:spacing w:val="-7"/>
                <w:sz w:val="21"/>
              </w:rPr>
              <w:t>11</w:t>
            </w:r>
          </w:hyperlink>
        </w:p>
        <w:p>
          <w:pPr>
            <w:pStyle w:val="TOC3"/>
            <w:tabs>
              <w:tab w:pos="8536" w:val="right" w:leader="dot"/>
            </w:tabs>
            <w:spacing w:before="42"/>
            <w:rPr>
              <w:rFonts w:ascii="Times New Roman" w:eastAsia="Times New Roman"/>
              <w:b w:val="0"/>
              <w:i w:val="0"/>
              <w:sz w:val="21"/>
            </w:rPr>
          </w:pPr>
          <w:hyperlink w:history="true" w:anchor="_bookmark30">
            <w:r>
              <w:rPr>
                <w:i w:val="0"/>
                <w:sz w:val="21"/>
              </w:rPr>
              <w:t>第二十七条</w:t>
            </w:r>
            <w:r>
              <w:rPr>
                <w:i w:val="0"/>
                <w:spacing w:val="102"/>
                <w:sz w:val="21"/>
              </w:rPr>
              <w:t> </w:t>
            </w:r>
            <w:r>
              <w:rPr>
                <w:i w:val="0"/>
                <w:sz w:val="21"/>
              </w:rPr>
              <w:t>司法管</w:t>
            </w:r>
            <w:r>
              <w:rPr>
                <w:i w:val="0"/>
                <w:spacing w:val="-10"/>
                <w:sz w:val="21"/>
              </w:rPr>
              <w:t>辖</w:t>
            </w:r>
            <w:r>
              <w:rPr>
                <w:rFonts w:ascii="Times New Roman" w:eastAsia="Times New Roman"/>
                <w:b w:val="0"/>
                <w:i w:val="0"/>
                <w:sz w:val="21"/>
              </w:rPr>
              <w:tab/>
            </w:r>
            <w:r>
              <w:rPr>
                <w:rFonts w:ascii="Times New Roman" w:eastAsia="Times New Roman"/>
                <w:b w:val="0"/>
                <w:i w:val="0"/>
                <w:spacing w:val="-7"/>
                <w:sz w:val="21"/>
              </w:rPr>
              <w:t>11</w:t>
            </w:r>
          </w:hyperlink>
        </w:p>
        <w:p>
          <w:pPr>
            <w:pStyle w:val="TOC1"/>
            <w:tabs>
              <w:tab w:pos="8541" w:val="right" w:leader="dot"/>
            </w:tabs>
            <w:rPr>
              <w:rFonts w:ascii="Times New Roman" w:eastAsia="Times New Roman"/>
            </w:rPr>
          </w:pPr>
          <w:hyperlink w:history="true" w:anchor="_bookmark31">
            <w:r>
              <w:rPr/>
              <w:t>第五部分</w:t>
            </w:r>
            <w:r>
              <w:rPr>
                <w:spacing w:val="-1"/>
              </w:rPr>
              <w:t> </w:t>
            </w:r>
            <w:r>
              <w:rPr/>
              <w:t>其他事</w:t>
            </w:r>
            <w:r>
              <w:rPr>
                <w:spacing w:val="-10"/>
              </w:rPr>
              <w:t>项</w:t>
            </w:r>
            <w:r>
              <w:rPr>
                <w:rFonts w:ascii="Times New Roman" w:eastAsia="Times New Roman"/>
                <w:b w:val="0"/>
              </w:rPr>
              <w:tab/>
            </w:r>
            <w:r>
              <w:rPr>
                <w:rFonts w:ascii="Times New Roman" w:eastAsia="Times New Roman"/>
                <w:spacing w:val="-5"/>
              </w:rPr>
              <w:t>12</w:t>
            </w:r>
          </w:hyperlink>
        </w:p>
        <w:p>
          <w:pPr>
            <w:pStyle w:val="TOC3"/>
            <w:tabs>
              <w:tab w:pos="8541" w:val="right" w:leader="dot"/>
            </w:tabs>
            <w:rPr>
              <w:rFonts w:ascii="Times New Roman" w:eastAsia="Times New Roman"/>
              <w:b w:val="0"/>
              <w:i w:val="0"/>
              <w:sz w:val="21"/>
            </w:rPr>
          </w:pPr>
          <w:hyperlink w:history="true" w:anchor="_bookmark32">
            <w:r>
              <w:rPr>
                <w:i w:val="0"/>
                <w:sz w:val="21"/>
              </w:rPr>
              <w:t>第二十八条</w:t>
            </w:r>
            <w:r>
              <w:rPr>
                <w:i w:val="0"/>
                <w:spacing w:val="102"/>
                <w:sz w:val="21"/>
              </w:rPr>
              <w:t> </w:t>
            </w:r>
            <w:r>
              <w:rPr>
                <w:i w:val="0"/>
                <w:sz w:val="21"/>
              </w:rPr>
              <w:t>释</w:t>
            </w:r>
            <w:r>
              <w:rPr>
                <w:i w:val="0"/>
                <w:spacing w:val="-10"/>
                <w:sz w:val="21"/>
              </w:rPr>
              <w:t>义</w:t>
            </w:r>
            <w:r>
              <w:rPr>
                <w:rFonts w:ascii="Times New Roman" w:eastAsia="Times New Roman"/>
                <w:b w:val="0"/>
                <w:i w:val="0"/>
                <w:sz w:val="21"/>
              </w:rPr>
              <w:tab/>
            </w:r>
            <w:r>
              <w:rPr>
                <w:rFonts w:ascii="Times New Roman" w:eastAsia="Times New Roman"/>
                <w:b w:val="0"/>
                <w:i w:val="0"/>
                <w:spacing w:val="-7"/>
                <w:w w:val="95"/>
                <w:sz w:val="21"/>
              </w:rPr>
              <w:t>12</w:t>
            </w:r>
          </w:hyperlink>
        </w:p>
      </w:sdtContent>
    </w:sdt>
    <w:p>
      <w:pPr>
        <w:spacing w:after="0"/>
        <w:rPr>
          <w:rFonts w:ascii="Times New Roman" w:eastAsia="Times New Roman"/>
          <w:sz w:val="21"/>
        </w:rPr>
        <w:sectPr>
          <w:type w:val="continuous"/>
          <w:pgSz w:w="11910" w:h="16840"/>
          <w:pgMar w:header="0" w:footer="1005" w:top="240" w:bottom="1200" w:left="1560" w:right="240"/>
        </w:sectPr>
      </w:pPr>
    </w:p>
    <w:p>
      <w:pPr>
        <w:pStyle w:val="Heading2"/>
        <w:ind w:right="2336"/>
      </w:pPr>
      <w:bookmarkStart w:name="_bookmark0" w:id="1"/>
      <w:bookmarkEnd w:id="1"/>
      <w:r>
        <w:rPr>
          <w:b w:val="0"/>
        </w:rPr>
      </w:r>
      <w:r>
        <w:rPr>
          <w:spacing w:val="-2"/>
        </w:rPr>
        <w:t>第一部分 总</w:t>
      </w:r>
      <w:r>
        <w:rPr>
          <w:spacing w:val="-10"/>
        </w:rPr>
        <w:t>则</w:t>
      </w:r>
    </w:p>
    <w:p>
      <w:pPr>
        <w:pStyle w:val="BodyText"/>
        <w:spacing w:before="6"/>
        <w:ind w:left="0"/>
        <w:rPr>
          <w:b/>
          <w:sz w:val="26"/>
        </w:rPr>
      </w:pPr>
    </w:p>
    <w:p>
      <w:pPr>
        <w:pStyle w:val="Heading5"/>
      </w:pPr>
      <w:bookmarkStart w:name="_bookmark1" w:id="2"/>
      <w:bookmarkEnd w:id="2"/>
      <w:r>
        <w:rPr>
          <w:b w:val="0"/>
        </w:rPr>
      </w:r>
      <w:r>
        <w:rPr>
          <w:spacing w:val="-5"/>
        </w:rPr>
        <w:t>第一条 合同构成</w:t>
      </w:r>
    </w:p>
    <w:p>
      <w:pPr>
        <w:pStyle w:val="BodyText"/>
        <w:spacing w:line="278" w:lineRule="auto" w:before="43"/>
        <w:ind w:right="1460" w:firstLine="419"/>
      </w:pPr>
      <w:r>
        <w:rPr>
          <w:spacing w:val="-2"/>
        </w:rPr>
        <w:t>“昆仑健康保险股份有限公司健康保青春多倍版重大疾病保险合同”（以下简称“本合</w:t>
      </w:r>
      <w:r>
        <w:rPr>
          <w:spacing w:val="-2"/>
        </w:rPr>
        <w:t>同”）由保险单及所附条款、投保单、与本合同有关的投保文件、合法有效的声明、批注、</w:t>
      </w:r>
      <w:r>
        <w:rPr>
          <w:spacing w:val="-2"/>
        </w:rPr>
        <w:t>附贴批单和其他书面协议构成。</w:t>
      </w:r>
    </w:p>
    <w:p>
      <w:pPr>
        <w:pStyle w:val="BodyText"/>
        <w:spacing w:line="269" w:lineRule="exact"/>
        <w:ind w:left="658"/>
      </w:pPr>
      <w:r>
        <w:rPr>
          <w:spacing w:val="-3"/>
        </w:rPr>
        <w:t>凡涉及本合同的约定，均应采取书面形式。</w:t>
      </w:r>
    </w:p>
    <w:p>
      <w:pPr>
        <w:pStyle w:val="BodyText"/>
        <w:spacing w:before="9"/>
        <w:ind w:left="0"/>
        <w:rPr>
          <w:sz w:val="27"/>
        </w:rPr>
      </w:pPr>
    </w:p>
    <w:p>
      <w:pPr>
        <w:pStyle w:val="Heading5"/>
        <w:jc w:val="both"/>
      </w:pPr>
      <w:bookmarkStart w:name="_bookmark2" w:id="3"/>
      <w:bookmarkEnd w:id="3"/>
      <w:r>
        <w:rPr>
          <w:b w:val="0"/>
        </w:rPr>
      </w:r>
      <w:r>
        <w:rPr>
          <w:spacing w:val="-5"/>
        </w:rPr>
        <w:t>第二条 合同成立与生效</w:t>
      </w:r>
    </w:p>
    <w:p>
      <w:pPr>
        <w:pStyle w:val="BodyText"/>
        <w:spacing w:line="278" w:lineRule="auto" w:before="43"/>
        <w:ind w:right="1548" w:firstLine="424"/>
        <w:jc w:val="both"/>
      </w:pPr>
      <w:r>
        <w:rPr>
          <w:spacing w:val="-4"/>
        </w:rPr>
        <w:t>投保人提出保险申请、本公司同意承保，本合同成立。自本合同成立、本公司收取首期</w:t>
      </w:r>
      <w:r>
        <w:rPr>
          <w:spacing w:val="-4"/>
        </w:rPr>
        <w:t>保险费且签发保险单的次日零时起本合同生效，合同生效日期在保险单上载明。</w:t>
      </w:r>
      <w:r>
        <w:rPr>
          <w:b/>
          <w:spacing w:val="-4"/>
        </w:rPr>
        <w:t>保险单周年</w:t>
      </w:r>
      <w:r>
        <w:rPr>
          <w:b/>
          <w:spacing w:val="-2"/>
        </w:rPr>
        <w:t>日、保险单年度</w:t>
      </w:r>
      <w:r>
        <w:rPr>
          <w:spacing w:val="-2"/>
        </w:rPr>
        <w:t>和</w:t>
      </w:r>
      <w:r>
        <w:rPr>
          <w:b/>
          <w:spacing w:val="-2"/>
        </w:rPr>
        <w:t>保险费约定交纳日</w:t>
      </w:r>
      <w:r>
        <w:rPr>
          <w:spacing w:val="-2"/>
        </w:rPr>
        <w:t>均以合同生效日为计算基准。</w:t>
      </w:r>
    </w:p>
    <w:p>
      <w:pPr>
        <w:pStyle w:val="BodyText"/>
        <w:spacing w:before="4"/>
        <w:ind w:left="0"/>
        <w:rPr>
          <w:sz w:val="24"/>
        </w:rPr>
      </w:pPr>
    </w:p>
    <w:p>
      <w:pPr>
        <w:pStyle w:val="Heading5"/>
        <w:spacing w:before="1"/>
      </w:pPr>
      <w:bookmarkStart w:name="_bookmark3" w:id="4"/>
      <w:bookmarkEnd w:id="4"/>
      <w:r>
        <w:rPr>
          <w:b w:val="0"/>
        </w:rPr>
      </w:r>
      <w:r>
        <w:rPr>
          <w:spacing w:val="-5"/>
        </w:rPr>
        <w:t>第三条 犹豫期</w:t>
      </w:r>
    </w:p>
    <w:p>
      <w:pPr>
        <w:pStyle w:val="BodyText"/>
        <w:spacing w:line="278" w:lineRule="auto" w:before="42"/>
        <w:ind w:right="1445" w:firstLine="424"/>
      </w:pPr>
      <w:r>
        <w:rPr>
          <w:spacing w:val="-7"/>
        </w:rPr>
        <w:t>自投保人签收保险单之日起，有 </w:t>
      </w:r>
      <w:r>
        <w:rPr>
          <w:spacing w:val="-4"/>
        </w:rPr>
        <w:t>15</w:t>
      </w:r>
      <w:r>
        <w:rPr>
          <w:spacing w:val="-10"/>
        </w:rPr>
        <w:t> 日的犹豫期。如果投保人在此期间提出解除本合同，</w:t>
      </w:r>
      <w:r>
        <w:rPr>
          <w:spacing w:val="-2"/>
        </w:rPr>
        <w:t>投保人应当填写书面申请书，并提供保险合同及身份证明，本公司将无息退还投保人所交的</w:t>
      </w:r>
      <w:r>
        <w:rPr>
          <w:spacing w:val="-2"/>
        </w:rPr>
        <w:t>保险费。</w:t>
      </w:r>
      <w:r>
        <w:rPr>
          <w:color w:val="000000"/>
          <w:spacing w:val="-2"/>
          <w:shd w:fill="C0C0C0" w:color="auto" w:val="clear"/>
        </w:rPr>
        <w:t>自投保人书面申请解除本合同之日起，本合同即被解除，本公司自始不承担保险责</w:t>
      </w:r>
      <w:r>
        <w:rPr>
          <w:color w:val="000000"/>
          <w:spacing w:val="-6"/>
          <w:shd w:fill="C0C0C0" w:color="auto" w:val="clear"/>
        </w:rPr>
        <w:t>任。</w:t>
      </w:r>
    </w:p>
    <w:p>
      <w:pPr>
        <w:pStyle w:val="BodyText"/>
        <w:spacing w:before="4"/>
        <w:ind w:left="0"/>
        <w:rPr>
          <w:sz w:val="24"/>
        </w:rPr>
      </w:pPr>
    </w:p>
    <w:p>
      <w:pPr>
        <w:pStyle w:val="Heading5"/>
        <w:spacing w:before="1"/>
      </w:pPr>
      <w:bookmarkStart w:name="_bookmark4" w:id="5"/>
      <w:bookmarkEnd w:id="5"/>
      <w:r>
        <w:rPr>
          <w:b w:val="0"/>
        </w:rPr>
      </w:r>
      <w:r>
        <w:rPr>
          <w:spacing w:val="-5"/>
        </w:rPr>
        <w:t>第四条 明确说明与如实告知</w:t>
      </w:r>
    </w:p>
    <w:p>
      <w:pPr>
        <w:pStyle w:val="BodyText"/>
        <w:spacing w:before="42"/>
        <w:ind w:left="658"/>
      </w:pPr>
      <w:r>
        <w:rPr>
          <w:spacing w:val="-3"/>
        </w:rPr>
        <w:t>订立本合同时，本公司应当向投保人说明本合同内容。</w:t>
      </w:r>
    </w:p>
    <w:p>
      <w:pPr>
        <w:pStyle w:val="BodyText"/>
        <w:spacing w:line="278" w:lineRule="auto" w:before="43"/>
        <w:ind w:right="1549" w:firstLine="419"/>
        <w:jc w:val="both"/>
      </w:pPr>
      <w:r>
        <w:rPr>
          <w:spacing w:val="-4"/>
        </w:rPr>
        <w:t>对保险条款中免除本公司责任的条款，本公司在订立合同时应当在投保单、保险单或者</w:t>
      </w:r>
      <w:r>
        <w:rPr>
          <w:spacing w:val="-7"/>
        </w:rPr>
        <w:t>其他保险凭证上作出足以引起投保人注意的提示，并对该条款的内容以书面或者口头形式向</w:t>
      </w:r>
      <w:r>
        <w:rPr>
          <w:spacing w:val="-2"/>
        </w:rPr>
        <w:t>投保人作出明确说明，未作提示或者明确说明的，该条款不产生效力。</w:t>
      </w:r>
    </w:p>
    <w:p>
      <w:pPr>
        <w:pStyle w:val="BodyText"/>
        <w:ind w:left="658"/>
      </w:pPr>
      <w:r>
        <w:rPr>
          <w:spacing w:val="-3"/>
        </w:rPr>
        <w:t>本公司就投保人和被保险人的有关情况提出书面询问，投保人应当如实告知。</w:t>
      </w:r>
    </w:p>
    <w:p>
      <w:pPr>
        <w:pStyle w:val="BodyText"/>
        <w:spacing w:line="278" w:lineRule="auto" w:before="43"/>
        <w:ind w:right="1549" w:firstLine="419"/>
      </w:pPr>
      <w:r>
        <w:rPr>
          <w:color w:val="000000"/>
          <w:spacing w:val="-7"/>
          <w:shd w:fill="C0C0C0" w:color="auto" w:val="clear"/>
        </w:rPr>
        <w:t>投保人故意或者因重大过失未履行如实告知义务，足以影响本公司决定是否同意承保或</w:t>
      </w:r>
      <w:r>
        <w:rPr>
          <w:color w:val="000000"/>
          <w:spacing w:val="80"/>
          <w:w w:val="150"/>
          <w:shd w:fill="C0C0C0" w:color="auto" w:val="clear"/>
        </w:rPr>
        <w:t>                                             </w:t>
      </w:r>
      <w:r>
        <w:rPr>
          <w:color w:val="000000"/>
          <w:spacing w:val="-2"/>
          <w:shd w:fill="C0C0C0" w:color="auto" w:val="clear"/>
        </w:rPr>
        <w:t>提高保险费率的，本公司有权解除本合同。</w:t>
      </w:r>
    </w:p>
    <w:p>
      <w:pPr>
        <w:pStyle w:val="BodyText"/>
        <w:spacing w:line="278" w:lineRule="auto"/>
        <w:ind w:right="1549" w:firstLine="419"/>
      </w:pPr>
      <w:r>
        <w:rPr>
          <w:color w:val="000000"/>
          <w:spacing w:val="-4"/>
          <w:shd w:fill="C0C0C0" w:color="auto" w:val="clear"/>
        </w:rPr>
        <w:t>投保人故意不履行如实告知义务的，对于本合同解除前发生的保险事故，本公司不承担</w:t>
      </w:r>
      <w:r>
        <w:rPr>
          <w:color w:val="000000"/>
          <w:spacing w:val="80"/>
          <w:w w:val="150"/>
          <w:shd w:fill="C0C0C0" w:color="auto" w:val="clear"/>
        </w:rPr>
        <w:t>                                             </w:t>
      </w:r>
      <w:r>
        <w:rPr>
          <w:color w:val="000000"/>
          <w:spacing w:val="-2"/>
          <w:shd w:fill="C0C0C0" w:color="auto" w:val="clear"/>
        </w:rPr>
        <w:t>给付保险金和豁免保险费的责任，并不退还保险费。</w:t>
      </w:r>
    </w:p>
    <w:p>
      <w:pPr>
        <w:pStyle w:val="BodyText"/>
        <w:spacing w:line="278" w:lineRule="auto"/>
        <w:ind w:right="1548" w:firstLine="419"/>
        <w:jc w:val="both"/>
      </w:pPr>
      <w:r>
        <w:rPr>
          <w:color w:val="000000"/>
          <w:spacing w:val="-4"/>
          <w:shd w:fill="C0C0C0" w:color="auto" w:val="clear"/>
        </w:rPr>
        <w:t>投保人因重大过失未履行如实告知义务，对保险事故的发生有严重影响的，对于本合同</w:t>
      </w:r>
      <w:r>
        <w:rPr>
          <w:color w:val="000000"/>
          <w:spacing w:val="40"/>
          <w:shd w:fill="C0C0C0" w:color="auto" w:val="clear"/>
        </w:rPr>
        <w:t> </w:t>
      </w:r>
      <w:r>
        <w:rPr>
          <w:color w:val="000000"/>
          <w:spacing w:val="-4"/>
          <w:shd w:fill="C0C0C0" w:color="auto" w:val="clear"/>
        </w:rPr>
        <w:t>解除前发生的保险事故，本公司不承担给付保险金和豁免保险费的责任，但会向投保人无息</w:t>
      </w:r>
      <w:r>
        <w:rPr>
          <w:color w:val="000000"/>
          <w:spacing w:val="-2"/>
          <w:shd w:fill="C0C0C0" w:color="auto" w:val="clear"/>
        </w:rPr>
        <w:t>退还保险费。</w:t>
      </w:r>
    </w:p>
    <w:p>
      <w:pPr>
        <w:pStyle w:val="BodyText"/>
        <w:spacing w:line="278" w:lineRule="auto"/>
        <w:ind w:right="1549" w:firstLine="419"/>
      </w:pPr>
      <w:r>
        <w:rPr>
          <w:spacing w:val="-4"/>
        </w:rPr>
        <w:t>本公司在合同订立时已经知道投保人未如实告知的情况的，本公司不得解除合同；发生</w:t>
      </w:r>
      <w:r>
        <w:rPr>
          <w:spacing w:val="-2"/>
        </w:rPr>
        <w:t>保险事故的，本公司承担给付保险金和豁免保险费的责任。</w:t>
      </w:r>
    </w:p>
    <w:p>
      <w:pPr>
        <w:pStyle w:val="BodyText"/>
        <w:spacing w:before="4"/>
        <w:ind w:left="0"/>
        <w:rPr>
          <w:sz w:val="24"/>
        </w:rPr>
      </w:pPr>
    </w:p>
    <w:p>
      <w:pPr>
        <w:pStyle w:val="Heading5"/>
        <w:jc w:val="both"/>
      </w:pPr>
      <w:bookmarkStart w:name="_bookmark5" w:id="6"/>
      <w:bookmarkEnd w:id="6"/>
      <w:r>
        <w:rPr>
          <w:b w:val="0"/>
        </w:rPr>
      </w:r>
      <w:r>
        <w:rPr>
          <w:spacing w:val="-6"/>
        </w:rPr>
        <w:t>第五条 本公司合同解除权的限制</w:t>
      </w:r>
    </w:p>
    <w:p>
      <w:pPr>
        <w:pStyle w:val="BodyText"/>
        <w:spacing w:line="278" w:lineRule="auto" w:before="43"/>
        <w:ind w:right="1548" w:firstLine="419"/>
        <w:jc w:val="both"/>
      </w:pPr>
      <w:r>
        <w:rPr>
          <w:spacing w:val="-4"/>
        </w:rPr>
        <w:t>本合同第四条和第十八条中规定的合同解除权，自本公司知道有解除事由之日起，超过 </w:t>
      </w:r>
      <w:r>
        <w:rPr>
          <w:spacing w:val="-2"/>
        </w:rPr>
        <w:t>30</w:t>
      </w:r>
      <w:r>
        <w:rPr>
          <w:spacing w:val="-6"/>
        </w:rPr>
        <w:t> 日不行使而消灭。自本合同成立之日起超过 </w:t>
      </w:r>
      <w:r>
        <w:rPr>
          <w:spacing w:val="-2"/>
        </w:rPr>
        <w:t>2</w:t>
      </w:r>
      <w:r>
        <w:rPr>
          <w:spacing w:val="-5"/>
        </w:rPr>
        <w:t> 年的，本公司不得解除合同；发生保险事</w:t>
      </w:r>
      <w:r>
        <w:rPr>
          <w:spacing w:val="-2"/>
        </w:rPr>
        <w:t>故的，本公司承担给付保险金和豁免保险费的责任。</w:t>
      </w:r>
    </w:p>
    <w:p>
      <w:pPr>
        <w:pStyle w:val="BodyText"/>
        <w:ind w:left="0"/>
        <w:rPr>
          <w:sz w:val="20"/>
        </w:rPr>
      </w:pPr>
    </w:p>
    <w:p>
      <w:pPr>
        <w:pStyle w:val="BodyText"/>
        <w:spacing w:before="12"/>
        <w:ind w:left="0"/>
        <w:rPr>
          <w:sz w:val="26"/>
        </w:rPr>
      </w:pPr>
    </w:p>
    <w:p>
      <w:pPr>
        <w:pStyle w:val="Heading2"/>
        <w:spacing w:before="0"/>
        <w:ind w:right="2341"/>
      </w:pPr>
      <w:bookmarkStart w:name="_bookmark6" w:id="7"/>
      <w:bookmarkEnd w:id="7"/>
      <w:r>
        <w:rPr>
          <w:b w:val="0"/>
        </w:rPr>
      </w:r>
      <w:r>
        <w:rPr>
          <w:spacing w:val="-3"/>
        </w:rPr>
        <w:t>第二部分 保</w:t>
      </w:r>
      <w:r>
        <w:rPr/>
        <w:t>障</w:t>
      </w:r>
      <w:r>
        <w:rPr/>
        <w:t>利</w:t>
      </w:r>
      <w:r>
        <w:rPr/>
        <w:t>益</w:t>
      </w:r>
      <w:r>
        <w:rPr/>
        <w:t>条</w:t>
      </w:r>
      <w:r>
        <w:rPr>
          <w:spacing w:val="-10"/>
        </w:rPr>
        <w:t>款</w:t>
      </w:r>
    </w:p>
    <w:p>
      <w:pPr>
        <w:spacing w:after="0"/>
        <w:sectPr>
          <w:pgSz w:w="11910" w:h="16840"/>
          <w:pgMar w:header="0" w:footer="1005" w:top="1580" w:bottom="1200" w:left="1560" w:right="240"/>
        </w:sectPr>
      </w:pPr>
    </w:p>
    <w:p>
      <w:pPr>
        <w:pStyle w:val="Heading5"/>
        <w:spacing w:before="44"/>
      </w:pPr>
      <w:bookmarkStart w:name="_bookmark7" w:id="8"/>
      <w:bookmarkEnd w:id="8"/>
      <w:r>
        <w:rPr>
          <w:b w:val="0"/>
        </w:rPr>
      </w:r>
      <w:r>
        <w:rPr>
          <w:spacing w:val="-5"/>
        </w:rPr>
        <w:t>第六条 投保人、被保险人</w:t>
      </w:r>
    </w:p>
    <w:p>
      <w:pPr>
        <w:pStyle w:val="BodyText"/>
        <w:spacing w:line="278" w:lineRule="auto" w:before="43"/>
        <w:ind w:right="1443" w:firstLine="419"/>
      </w:pPr>
      <w:r>
        <w:rPr>
          <w:spacing w:val="-3"/>
        </w:rPr>
        <w:t>本合同接受的被保险人的投保年龄为出生满 </w:t>
      </w:r>
      <w:r>
        <w:rPr/>
        <w:t>28</w:t>
      </w:r>
      <w:r>
        <w:rPr>
          <w:spacing w:val="-27"/>
        </w:rPr>
        <w:t> 日至 </w:t>
      </w:r>
      <w:r>
        <w:rPr/>
        <w:t>35</w:t>
      </w:r>
      <w:r>
        <w:rPr>
          <w:spacing w:val="-55"/>
        </w:rPr>
        <w:t> </w:t>
      </w:r>
      <w:r>
        <w:rPr>
          <w:b/>
        </w:rPr>
        <w:t>周岁</w:t>
      </w:r>
      <w:r>
        <w:rPr>
          <w:spacing w:val="-45"/>
        </w:rPr>
        <w:t>之间</w:t>
      </w:r>
      <w:r>
        <w:rPr/>
        <w:t>（</w:t>
      </w:r>
      <w:r>
        <w:rPr>
          <w:spacing w:val="-27"/>
        </w:rPr>
        <w:t>含 </w:t>
      </w:r>
      <w:r>
        <w:rPr/>
        <w:t>28</w:t>
      </w:r>
      <w:r>
        <w:rPr>
          <w:spacing w:val="-27"/>
        </w:rPr>
        <w:t> 日和 </w:t>
      </w:r>
      <w:r>
        <w:rPr/>
        <w:t>35</w:t>
      </w:r>
      <w:r>
        <w:rPr>
          <w:spacing w:val="-18"/>
        </w:rPr>
        <w:t> 周岁</w:t>
      </w:r>
      <w:r>
        <w:rPr>
          <w:spacing w:val="-108"/>
        </w:rPr>
        <w:t>）</w:t>
      </w:r>
      <w:r>
        <w:rPr/>
        <w:t>。</w:t>
      </w:r>
      <w:r>
        <w:rPr>
          <w:spacing w:val="-2"/>
        </w:rPr>
        <w:t>被保险人本人或对被保险人具有保险利益的其他人可作为本合同投保人。</w:t>
      </w:r>
    </w:p>
    <w:p>
      <w:pPr>
        <w:pStyle w:val="BodyText"/>
        <w:spacing w:before="5"/>
        <w:ind w:left="0"/>
        <w:rPr>
          <w:sz w:val="24"/>
        </w:rPr>
      </w:pPr>
    </w:p>
    <w:p>
      <w:pPr>
        <w:pStyle w:val="Heading5"/>
      </w:pPr>
      <w:r>
        <w:rPr/>
        <w:drawing>
          <wp:anchor distT="0" distB="0" distL="0" distR="0" allowOverlap="1" layoutInCell="1" locked="0" behindDoc="1" simplePos="0" relativeHeight="486146048">
            <wp:simplePos x="0" y="0"/>
            <wp:positionH relativeFrom="page">
              <wp:posOffset>1141780</wp:posOffset>
            </wp:positionH>
            <wp:positionV relativeFrom="paragraph">
              <wp:posOffset>183641</wp:posOffset>
            </wp:positionV>
            <wp:extent cx="5278501" cy="385572"/>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7" cstate="print"/>
                    <a:stretch>
                      <a:fillRect/>
                    </a:stretch>
                  </pic:blipFill>
                  <pic:spPr>
                    <a:xfrm>
                      <a:off x="0" y="0"/>
                      <a:ext cx="5278501" cy="385572"/>
                    </a:xfrm>
                    <a:prstGeom prst="rect">
                      <a:avLst/>
                    </a:prstGeom>
                  </pic:spPr>
                </pic:pic>
              </a:graphicData>
            </a:graphic>
          </wp:anchor>
        </w:drawing>
      </w:r>
      <w:r>
        <w:rPr/>
        <w:pict>
          <v:shape style="position:absolute;margin-left:89.903999pt;margin-top:14.459986pt;width:415.65pt;height:30.4pt;mso-position-horizontal-relative:page;mso-position-vertical-relative:paragraph;z-index:-17169920" type="#_x0000_t202" id="docshape2" filled="false" stroked="false">
            <v:textbox inset="0,0,0,0">
              <w:txbxContent>
                <w:p>
                  <w:pPr>
                    <w:pStyle w:val="BodyText"/>
                    <w:spacing w:before="22"/>
                    <w:ind w:left="422" w:right="-15"/>
                  </w:pPr>
                  <w:r>
                    <w:rPr>
                      <w:spacing w:val="-8"/>
                    </w:rPr>
                    <w:t>本合同生效或最后一次复效之日起 </w:t>
                  </w:r>
                  <w:r>
                    <w:rPr>
                      <w:spacing w:val="-4"/>
                    </w:rPr>
                    <w:t>180</w:t>
                  </w:r>
                  <w:r>
                    <w:rPr>
                      <w:spacing w:val="-20"/>
                    </w:rPr>
                    <w:t> 日内</w:t>
                  </w:r>
                  <w:r>
                    <w:rPr>
                      <w:spacing w:val="-4"/>
                    </w:rPr>
                    <w:t>（</w:t>
                  </w:r>
                  <w:r>
                    <w:rPr>
                      <w:spacing w:val="-19"/>
                    </w:rPr>
                    <w:t>含第 </w:t>
                  </w:r>
                  <w:r>
                    <w:rPr>
                      <w:spacing w:val="-4"/>
                    </w:rPr>
                    <w:t>180</w:t>
                  </w:r>
                  <w:r>
                    <w:rPr>
                      <w:spacing w:val="-28"/>
                    </w:rPr>
                    <w:t> 日</w:t>
                  </w:r>
                  <w:r>
                    <w:rPr>
                      <w:spacing w:val="-4"/>
                    </w:rPr>
                    <w:t>）</w:t>
                  </w:r>
                  <w:r>
                    <w:rPr>
                      <w:spacing w:val="-5"/>
                    </w:rPr>
                    <w:t>称为等待期。等待期内，被</w:t>
                  </w:r>
                </w:p>
                <w:p>
                  <w:pPr>
                    <w:pStyle w:val="BodyText"/>
                    <w:spacing w:before="43"/>
                    <w:ind w:left="0"/>
                  </w:pPr>
                  <w:r>
                    <w:rPr>
                      <w:spacing w:val="-3"/>
                    </w:rPr>
                    <w:t>保险人发生下列情形之一时，本公司不承担给付保险金和豁免保险费的责任：</w:t>
                  </w:r>
                </w:p>
              </w:txbxContent>
            </v:textbox>
            <w10:wrap type="none"/>
          </v:shape>
        </w:pict>
      </w:r>
      <w:r>
        <w:rPr/>
        <w:pict>
          <v:shape style="position:absolute;margin-left:110.900002pt;margin-top:45.659985pt;width:394.65pt;height:14.8pt;mso-position-horizontal-relative:page;mso-position-vertical-relative:paragraph;z-index:-15727616;mso-wrap-distance-left:0;mso-wrap-distance-right:0" type="#_x0000_t202" id="docshape3" filled="true" fillcolor="#c0c0c0" stroked="false">
            <v:textbox inset="0,0,0,0">
              <w:txbxContent>
                <w:p>
                  <w:pPr>
                    <w:spacing w:before="23"/>
                    <w:ind w:left="0" w:right="-15" w:firstLine="0"/>
                    <w:jc w:val="left"/>
                    <w:rPr>
                      <w:b/>
                      <w:color w:val="000000"/>
                      <w:sz w:val="21"/>
                    </w:rPr>
                  </w:pPr>
                  <w:r>
                    <w:rPr>
                      <w:color w:val="000000"/>
                      <w:spacing w:val="-2"/>
                      <w:sz w:val="21"/>
                    </w:rPr>
                    <w:t>（一）等待期内被保险人因</w:t>
                  </w:r>
                  <w:r>
                    <w:rPr>
                      <w:b/>
                      <w:color w:val="000000"/>
                      <w:spacing w:val="-2"/>
                      <w:sz w:val="21"/>
                    </w:rPr>
                    <w:t>意外伤害</w:t>
                  </w:r>
                  <w:r>
                    <w:rPr>
                      <w:color w:val="000000"/>
                      <w:spacing w:val="-13"/>
                      <w:sz w:val="21"/>
                    </w:rPr>
                    <w:t>以外的原因，由本公司指定或认可的</w:t>
                  </w:r>
                  <w:r>
                    <w:rPr>
                      <w:b/>
                      <w:color w:val="000000"/>
                      <w:spacing w:val="-2"/>
                      <w:sz w:val="21"/>
                    </w:rPr>
                    <w:t>医院</w:t>
                  </w:r>
                  <w:r>
                    <w:rPr>
                      <w:color w:val="000000"/>
                      <w:spacing w:val="-2"/>
                      <w:sz w:val="21"/>
                    </w:rPr>
                    <w:t>的</w:t>
                  </w:r>
                  <w:r>
                    <w:rPr>
                      <w:b/>
                      <w:color w:val="000000"/>
                      <w:spacing w:val="-5"/>
                      <w:sz w:val="21"/>
                    </w:rPr>
                    <w:t>专科医</w:t>
                  </w:r>
                </w:p>
              </w:txbxContent>
            </v:textbox>
            <v:fill type="solid"/>
            <w10:wrap type="topAndBottom"/>
          </v:shape>
        </w:pict>
      </w:r>
      <w:bookmarkStart w:name="_bookmark8" w:id="9"/>
      <w:bookmarkEnd w:id="9"/>
      <w:r>
        <w:rPr>
          <w:b w:val="0"/>
        </w:rPr>
      </w:r>
      <w:r>
        <w:rPr>
          <w:spacing w:val="-5"/>
        </w:rPr>
        <w:t>第七条 等待期</w:t>
      </w:r>
    </w:p>
    <w:p>
      <w:pPr>
        <w:pStyle w:val="BodyText"/>
        <w:rPr>
          <w:sz w:val="20"/>
        </w:rPr>
      </w:pPr>
      <w:r>
        <w:rPr>
          <w:sz w:val="20"/>
        </w:rPr>
        <w:pict>
          <v:shape style="width:415.65pt;height:14.8pt;mso-position-horizontal-relative:char;mso-position-vertical-relative:line" type="#_x0000_t202" id="docshape4" filled="true" fillcolor="#c0c0c0" stroked="false">
            <w10:anchorlock/>
            <v:textbox inset="0,0,0,0">
              <w:txbxContent>
                <w:p>
                  <w:pPr>
                    <w:pStyle w:val="BodyText"/>
                    <w:spacing w:before="22"/>
                    <w:ind w:left="0" w:right="-15"/>
                    <w:rPr>
                      <w:color w:val="000000"/>
                    </w:rPr>
                  </w:pPr>
                  <w:r>
                    <w:rPr>
                      <w:b/>
                      <w:color w:val="000000"/>
                      <w:spacing w:val="-6"/>
                    </w:rPr>
                    <w:t>生</w:t>
                  </w:r>
                  <w:r>
                    <w:rPr>
                      <w:color w:val="000000"/>
                      <w:spacing w:val="-7"/>
                    </w:rPr>
                    <w:t>确诊初次发生本合同所列的重大疾病、中症疾病、轻症疾病、特定疾病、特定心脑血管疾</w:t>
                  </w:r>
                </w:p>
              </w:txbxContent>
            </v:textbox>
            <v:fill type="solid"/>
          </v:shape>
        </w:pict>
      </w:r>
      <w:r>
        <w:rPr>
          <w:sz w:val="20"/>
        </w:rPr>
      </w:r>
    </w:p>
    <w:p>
      <w:pPr>
        <w:pStyle w:val="BodyText"/>
        <w:rPr>
          <w:sz w:val="20"/>
        </w:rPr>
      </w:pPr>
      <w:r>
        <w:rPr>
          <w:sz w:val="20"/>
        </w:rPr>
        <w:pict>
          <v:shape style="width:415.65pt;height:14.8pt;mso-position-horizontal-relative:char;mso-position-vertical-relative:line" type="#_x0000_t202" id="docshape5" filled="true" fillcolor="#c0c0c0" stroked="false">
            <w10:anchorlock/>
            <v:textbox inset="0,0,0,0">
              <w:txbxContent>
                <w:p>
                  <w:pPr>
                    <w:pStyle w:val="BodyText"/>
                    <w:spacing w:before="23"/>
                    <w:ind w:left="0" w:right="-15"/>
                    <w:rPr>
                      <w:color w:val="000000"/>
                    </w:rPr>
                  </w:pPr>
                  <w:r>
                    <w:rPr>
                      <w:color w:val="000000"/>
                      <w:spacing w:val="-7"/>
                    </w:rPr>
                    <w:t>病的一种或多种，本公司不承担保险责任，但应向投保人无息退还本合同的已交保险费，同</w:t>
                  </w:r>
                </w:p>
              </w:txbxContent>
            </v:textbox>
            <v:fill type="solid"/>
          </v:shape>
        </w:pict>
      </w:r>
      <w:r>
        <w:rPr>
          <w:sz w:val="20"/>
        </w:rPr>
      </w:r>
    </w:p>
    <w:p>
      <w:pPr>
        <w:pStyle w:val="BodyText"/>
        <w:rPr>
          <w:sz w:val="20"/>
        </w:rPr>
      </w:pPr>
      <w:r>
        <w:rPr>
          <w:sz w:val="20"/>
        </w:rPr>
        <w:pict>
          <v:shape style="width:73.6pt;height:14.8pt;mso-position-horizontal-relative:char;mso-position-vertical-relative:line" type="#_x0000_t202" id="docshape6" filled="true" fillcolor="#c0c0c0" stroked="false">
            <w10:anchorlock/>
            <v:textbox inset="0,0,0,0">
              <w:txbxContent>
                <w:p>
                  <w:pPr>
                    <w:pStyle w:val="BodyText"/>
                    <w:spacing w:before="22"/>
                    <w:ind w:left="0" w:right="-15"/>
                    <w:rPr>
                      <w:color w:val="000000"/>
                    </w:rPr>
                  </w:pPr>
                  <w:r>
                    <w:rPr>
                      <w:color w:val="000000"/>
                      <w:spacing w:val="-6"/>
                    </w:rPr>
                    <w:t>时本合同终止；</w:t>
                  </w:r>
                </w:p>
              </w:txbxContent>
            </v:textbox>
            <v:fill type="solid"/>
          </v:shape>
        </w:pict>
      </w:r>
      <w:r>
        <w:rPr>
          <w:sz w:val="20"/>
        </w:rPr>
      </w:r>
    </w:p>
    <w:p>
      <w:pPr>
        <w:pStyle w:val="BodyText"/>
        <w:ind w:left="658"/>
        <w:rPr>
          <w:sz w:val="20"/>
        </w:rPr>
      </w:pPr>
      <w:r>
        <w:rPr>
          <w:sz w:val="20"/>
        </w:rPr>
        <w:pict>
          <v:shape style="width:394.65pt;height:14.8pt;mso-position-horizontal-relative:char;mso-position-vertical-relative:line" type="#_x0000_t202" id="docshape7" filled="true" fillcolor="#c0c0c0" stroked="false">
            <w10:anchorlock/>
            <v:textbox inset="0,0,0,0">
              <w:txbxContent>
                <w:p>
                  <w:pPr>
                    <w:pStyle w:val="BodyText"/>
                    <w:spacing w:before="23"/>
                    <w:ind w:left="0" w:right="-15"/>
                    <w:rPr>
                      <w:color w:val="000000"/>
                    </w:rPr>
                  </w:pPr>
                  <w:r>
                    <w:rPr>
                      <w:color w:val="000000"/>
                      <w:spacing w:val="-10"/>
                    </w:rPr>
                    <w:t>（二）</w:t>
                  </w:r>
                  <w:r>
                    <w:rPr>
                      <w:color w:val="000000"/>
                      <w:spacing w:val="-7"/>
                    </w:rPr>
                    <w:t>如果投保人选择本合同“可选责任 </w:t>
                  </w:r>
                  <w:r>
                    <w:rPr>
                      <w:color w:val="000000"/>
                      <w:spacing w:val="-10"/>
                    </w:rPr>
                    <w:t>1.身故或全残保险金”，等待期内被保险人因</w:t>
                  </w:r>
                </w:p>
              </w:txbxContent>
            </v:textbox>
            <v:fill type="solid"/>
          </v:shape>
        </w:pict>
      </w:r>
      <w:r>
        <w:rPr>
          <w:sz w:val="20"/>
        </w:rPr>
      </w:r>
    </w:p>
    <w:p>
      <w:pPr>
        <w:pStyle w:val="BodyText"/>
        <w:rPr>
          <w:sz w:val="20"/>
        </w:rPr>
      </w:pPr>
      <w:r>
        <w:rPr>
          <w:sz w:val="20"/>
        </w:rPr>
        <w:pict>
          <v:shape style="width:415.65pt;height:14.8pt;mso-position-horizontal-relative:char;mso-position-vertical-relative:line" type="#_x0000_t202" id="docshape8" filled="true" fillcolor="#c0c0c0" stroked="false">
            <w10:anchorlock/>
            <v:textbox inset="0,0,0,0">
              <w:txbxContent>
                <w:p>
                  <w:pPr>
                    <w:pStyle w:val="BodyText"/>
                    <w:spacing w:before="23"/>
                    <w:ind w:left="0" w:right="-15"/>
                    <w:rPr>
                      <w:color w:val="000000"/>
                    </w:rPr>
                  </w:pPr>
                  <w:r>
                    <w:rPr>
                      <w:color w:val="000000"/>
                      <w:spacing w:val="-7"/>
                    </w:rPr>
                    <w:t>意外伤害以外的原因导致身故或全残，本公司不承担保险责任，但应向投保人无息退还本合</w:t>
                  </w:r>
                </w:p>
              </w:txbxContent>
            </v:textbox>
            <v:fill type="solid"/>
          </v:shape>
        </w:pict>
      </w:r>
      <w:r>
        <w:rPr>
          <w:sz w:val="20"/>
        </w:rPr>
      </w:r>
    </w:p>
    <w:p>
      <w:pPr>
        <w:pStyle w:val="BodyText"/>
        <w:rPr>
          <w:sz w:val="20"/>
        </w:rPr>
      </w:pPr>
      <w:r>
        <w:rPr>
          <w:sz w:val="20"/>
        </w:rPr>
        <w:pict>
          <v:shape style="width:168.15pt;height:14.8pt;mso-position-horizontal-relative:char;mso-position-vertical-relative:line" type="#_x0000_t202" id="docshape9" filled="true" fillcolor="#c0c0c0" stroked="false">
            <w10:anchorlock/>
            <v:textbox inset="0,0,0,0">
              <w:txbxContent>
                <w:p>
                  <w:pPr>
                    <w:pStyle w:val="BodyText"/>
                    <w:spacing w:before="23"/>
                    <w:ind w:left="0" w:right="-15"/>
                    <w:rPr>
                      <w:color w:val="000000"/>
                    </w:rPr>
                  </w:pPr>
                  <w:r>
                    <w:rPr>
                      <w:color w:val="000000"/>
                      <w:spacing w:val="-5"/>
                    </w:rPr>
                    <w:t>同的已交保险费，同时本合同终止。</w:t>
                  </w:r>
                </w:p>
              </w:txbxContent>
            </v:textbox>
            <v:fill type="solid"/>
          </v:shape>
        </w:pict>
      </w:r>
      <w:r>
        <w:rPr>
          <w:sz w:val="20"/>
        </w:rPr>
      </w:r>
    </w:p>
    <w:p>
      <w:pPr>
        <w:pStyle w:val="BodyText"/>
        <w:spacing w:before="20"/>
        <w:ind w:left="660"/>
      </w:pPr>
      <w:r>
        <w:rPr>
          <w:spacing w:val="-3"/>
        </w:rPr>
        <w:t>因意外伤害导致被保险人发生上述情形的无等待期。</w:t>
      </w:r>
    </w:p>
    <w:p>
      <w:pPr>
        <w:pStyle w:val="BodyText"/>
        <w:spacing w:before="9"/>
        <w:ind w:left="0"/>
        <w:rPr>
          <w:sz w:val="27"/>
        </w:rPr>
      </w:pPr>
    </w:p>
    <w:p>
      <w:pPr>
        <w:pStyle w:val="Heading5"/>
      </w:pPr>
      <w:bookmarkStart w:name="_bookmark9" w:id="10"/>
      <w:bookmarkEnd w:id="10"/>
      <w:r>
        <w:rPr>
          <w:b w:val="0"/>
        </w:rPr>
      </w:r>
      <w:r>
        <w:rPr>
          <w:spacing w:val="-5"/>
        </w:rPr>
        <w:t>第八条 保险责任</w:t>
      </w:r>
    </w:p>
    <w:p>
      <w:pPr>
        <w:pStyle w:val="BodyText"/>
        <w:spacing w:before="43"/>
        <w:ind w:left="658"/>
      </w:pPr>
      <w:r>
        <w:rPr>
          <w:spacing w:val="-3"/>
        </w:rPr>
        <w:t>在本合同有效期内，本公司承担如下保险责任：</w:t>
      </w:r>
    </w:p>
    <w:p>
      <w:pPr>
        <w:pStyle w:val="BodyText"/>
        <w:spacing w:line="278" w:lineRule="auto" w:before="43"/>
        <w:ind w:left="658" w:right="7763"/>
      </w:pPr>
      <w:r>
        <w:rPr>
          <w:spacing w:val="-2"/>
        </w:rPr>
        <w:t>（一）必选责任</w:t>
      </w:r>
      <w:r>
        <w:rPr>
          <w:spacing w:val="-2"/>
        </w:rPr>
        <w:t> 1.重大疾病保险金</w:t>
      </w:r>
    </w:p>
    <w:p>
      <w:pPr>
        <w:pStyle w:val="ListParagraph"/>
        <w:numPr>
          <w:ilvl w:val="0"/>
          <w:numId w:val="1"/>
        </w:numPr>
        <w:tabs>
          <w:tab w:pos="1187" w:val="left" w:leader="none"/>
        </w:tabs>
        <w:spacing w:line="269" w:lineRule="exact" w:before="0" w:after="0"/>
        <w:ind w:left="1187" w:right="0" w:hanging="529"/>
        <w:jc w:val="left"/>
        <w:rPr>
          <w:sz w:val="21"/>
        </w:rPr>
      </w:pPr>
      <w:r>
        <w:rPr>
          <w:spacing w:val="-3"/>
          <w:sz w:val="21"/>
        </w:rPr>
        <w:t>第一次重大疾病保险金</w:t>
      </w:r>
    </w:p>
    <w:p>
      <w:pPr>
        <w:pStyle w:val="BodyText"/>
        <w:spacing w:line="278" w:lineRule="auto" w:before="43"/>
        <w:ind w:right="1548" w:firstLine="419"/>
        <w:jc w:val="both"/>
      </w:pPr>
      <w:r>
        <w:rPr>
          <w:spacing w:val="-3"/>
        </w:rPr>
        <w:t>被保险人因意外伤害或于等待期后因意外伤害以外的原因，且在年满 </w:t>
      </w:r>
      <w:r>
        <w:rPr>
          <w:spacing w:val="-2"/>
        </w:rPr>
        <w:t>60</w:t>
      </w:r>
      <w:r>
        <w:rPr>
          <w:spacing w:val="-6"/>
        </w:rPr>
        <w:t> 周岁的首个保</w:t>
      </w:r>
      <w:r>
        <w:rPr>
          <w:spacing w:val="-4"/>
        </w:rPr>
        <w:t>险单周年日（不含当日）之前，由本公司指定或认可的医院的专科医生确诊初次发生本合同</w:t>
      </w:r>
      <w:r>
        <w:rPr>
          <w:spacing w:val="-2"/>
        </w:rPr>
        <w:t>所列的重大疾病（无论一种或多种</w:t>
      </w:r>
      <w:r>
        <w:rPr>
          <w:spacing w:val="-108"/>
        </w:rPr>
        <w:t>）</w:t>
      </w:r>
      <w:r>
        <w:rPr>
          <w:spacing w:val="-2"/>
        </w:rPr>
        <w:t>，本公司按以下三项中的较大者给付第一次重大疾病保</w:t>
      </w:r>
      <w:r>
        <w:rPr>
          <w:spacing w:val="-2"/>
        </w:rPr>
        <w:t>险金，本合同第一次重大疾病保险金责任终止：</w:t>
      </w:r>
    </w:p>
    <w:p>
      <w:pPr>
        <w:pStyle w:val="BodyText"/>
        <w:ind w:left="658"/>
      </w:pPr>
      <w:r>
        <w:rPr>
          <w:spacing w:val="-6"/>
        </w:rPr>
        <w:t>①本合同基本保险金额的 </w:t>
      </w:r>
      <w:r>
        <w:rPr>
          <w:spacing w:val="-4"/>
        </w:rPr>
        <w:t>160%；</w:t>
      </w:r>
    </w:p>
    <w:p>
      <w:pPr>
        <w:pStyle w:val="BodyText"/>
        <w:spacing w:before="43"/>
        <w:ind w:left="658"/>
      </w:pPr>
      <w:r>
        <w:rPr>
          <w:spacing w:val="-3"/>
        </w:rPr>
        <w:t>②被保险人第一次重大疾病确诊之日的累计已交保险费；</w:t>
      </w:r>
    </w:p>
    <w:p>
      <w:pPr>
        <w:pStyle w:val="BodyText"/>
        <w:spacing w:before="43"/>
        <w:ind w:left="658"/>
      </w:pPr>
      <w:r>
        <w:rPr>
          <w:spacing w:val="-2"/>
        </w:rPr>
        <w:t>③被保险人第一次重大疾病确诊之日的</w:t>
      </w:r>
      <w:r>
        <w:rPr>
          <w:b/>
          <w:spacing w:val="-2"/>
        </w:rPr>
        <w:t>现金价值</w:t>
      </w:r>
      <w:r>
        <w:rPr>
          <w:spacing w:val="-10"/>
        </w:rPr>
        <w:t>。</w:t>
      </w:r>
    </w:p>
    <w:p>
      <w:pPr>
        <w:pStyle w:val="BodyText"/>
        <w:spacing w:line="278" w:lineRule="auto" w:before="43"/>
        <w:ind w:right="1548" w:firstLine="419"/>
        <w:jc w:val="both"/>
      </w:pPr>
      <w:r>
        <w:rPr>
          <w:spacing w:val="-3"/>
        </w:rPr>
        <w:t>被保险人因意外伤害或于等待期后因意外伤害以外的原因，且在年满 </w:t>
      </w:r>
      <w:r>
        <w:rPr>
          <w:spacing w:val="-2"/>
        </w:rPr>
        <w:t>60</w:t>
      </w:r>
      <w:r>
        <w:rPr>
          <w:spacing w:val="-6"/>
        </w:rPr>
        <w:t> 周岁的首个保</w:t>
      </w:r>
      <w:r>
        <w:rPr>
          <w:spacing w:val="-4"/>
        </w:rPr>
        <w:t>险单周年日（含当日）之后，由本公司指定或认可的医院的专科医生确诊初次发生本合同所</w:t>
      </w:r>
      <w:r>
        <w:rPr>
          <w:spacing w:val="-2"/>
        </w:rPr>
        <w:t>列的重大疾病（无论一种或多种</w:t>
      </w:r>
      <w:r>
        <w:rPr>
          <w:spacing w:val="-106"/>
        </w:rPr>
        <w:t>）</w:t>
      </w:r>
      <w:r>
        <w:rPr>
          <w:spacing w:val="-3"/>
        </w:rPr>
        <w:t>，本公司按以下三项中的较大者给付第一次重大疾病保险</w:t>
      </w:r>
      <w:r>
        <w:rPr>
          <w:spacing w:val="-2"/>
        </w:rPr>
        <w:t>金，本合同第一次重大疾病保险金责任终止：</w:t>
      </w:r>
    </w:p>
    <w:p>
      <w:pPr>
        <w:pStyle w:val="BodyText"/>
        <w:spacing w:line="269" w:lineRule="exact"/>
        <w:ind w:left="658"/>
        <w:jc w:val="both"/>
      </w:pPr>
      <w:r>
        <w:rPr>
          <w:spacing w:val="-6"/>
        </w:rPr>
        <w:t>①本合同基本保险金额的 </w:t>
      </w:r>
      <w:r>
        <w:rPr>
          <w:spacing w:val="-2"/>
        </w:rPr>
        <w:t>100%；</w:t>
      </w:r>
    </w:p>
    <w:p>
      <w:pPr>
        <w:pStyle w:val="BodyText"/>
        <w:spacing w:before="42"/>
        <w:ind w:left="658"/>
      </w:pPr>
      <w:r>
        <w:rPr>
          <w:spacing w:val="-3"/>
        </w:rPr>
        <w:t>②被保险人第一次重大疾病确诊之日的累计已交保险费；</w:t>
      </w:r>
    </w:p>
    <w:p>
      <w:pPr>
        <w:pStyle w:val="BodyText"/>
        <w:spacing w:before="43"/>
        <w:ind w:left="658"/>
      </w:pPr>
      <w:r>
        <w:rPr>
          <w:spacing w:val="-3"/>
        </w:rPr>
        <w:t>③被保险人第一次重大疾病确诊之日的现金价值。</w:t>
      </w:r>
    </w:p>
    <w:p>
      <w:pPr>
        <w:pStyle w:val="BodyText"/>
        <w:spacing w:before="2"/>
        <w:ind w:left="0"/>
        <w:rPr>
          <w:sz w:val="22"/>
        </w:rPr>
      </w:pPr>
    </w:p>
    <w:p>
      <w:pPr>
        <w:pStyle w:val="BodyText"/>
        <w:spacing w:before="71"/>
        <w:ind w:left="6239"/>
      </w:pPr>
      <w:r>
        <w:rPr/>
        <w:drawing>
          <wp:anchor distT="0" distB="0" distL="0" distR="0" allowOverlap="1" layoutInCell="1" locked="0" behindDoc="0" simplePos="0" relativeHeight="15733248">
            <wp:simplePos x="0" y="0"/>
            <wp:positionH relativeFrom="page">
              <wp:posOffset>1408430</wp:posOffset>
            </wp:positionH>
            <wp:positionV relativeFrom="paragraph">
              <wp:posOffset>-167512</wp:posOffset>
            </wp:positionV>
            <wp:extent cx="5011801" cy="187451"/>
            <wp:effectExtent l="0" t="0" r="0" b="0"/>
            <wp:wrapNone/>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5011801" cy="187451"/>
                    </a:xfrm>
                    <a:prstGeom prst="rect">
                      <a:avLst/>
                    </a:prstGeom>
                  </pic:spPr>
                </pic:pic>
              </a:graphicData>
            </a:graphic>
          </wp:anchor>
        </w:drawing>
      </w:r>
      <w:r>
        <w:rPr/>
        <w:pict>
          <v:shape style="position:absolute;margin-left:110.900002pt;margin-top:-13.19pt;width:400.15pt;height:14.8pt;mso-position-horizontal-relative:page;mso-position-vertical-relative:paragraph;z-index:15733760" type="#_x0000_t202" id="docshape10" filled="false" stroked="false">
            <v:textbox inset="0,0,0,0">
              <w:txbxContent>
                <w:p>
                  <w:pPr>
                    <w:pStyle w:val="BodyText"/>
                    <w:spacing w:before="22"/>
                    <w:ind w:left="0"/>
                  </w:pPr>
                  <w:r>
                    <w:rPr>
                      <w:spacing w:val="-8"/>
                    </w:rPr>
                    <w:t>本公司给付第一次重大疾病保险金后，对被保险人不再承担本合同“中症疾病保险金”、</w:t>
                  </w:r>
                </w:p>
              </w:txbxContent>
            </v:textbox>
            <w10:wrap type="none"/>
          </v:shape>
        </w:pict>
      </w:r>
      <w:r>
        <w:rPr/>
        <w:pict>
          <v:shape style="position:absolute;margin-left:89.903999pt;margin-top:2.410001pt;width:300.05pt;height:14.8pt;mso-position-horizontal-relative:page;mso-position-vertical-relative:paragraph;z-index:15734272" type="#_x0000_t202" id="docshape11" filled="true" fillcolor="#c0c0c0" stroked="false">
            <v:textbox inset="0,0,0,0">
              <w:txbxContent>
                <w:p>
                  <w:pPr>
                    <w:pStyle w:val="BodyText"/>
                    <w:spacing w:before="22"/>
                    <w:ind w:left="0"/>
                    <w:rPr>
                      <w:color w:val="000000"/>
                    </w:rPr>
                  </w:pPr>
                  <w:r>
                    <w:rPr>
                      <w:color w:val="000000"/>
                      <w:spacing w:val="-2"/>
                    </w:rPr>
                    <w:t>“轻症疾病保险金”与“可选责任 </w:t>
                  </w:r>
                  <w:r>
                    <w:rPr>
                      <w:color w:val="000000"/>
                    </w:rPr>
                    <w:t>1.</w:t>
                  </w:r>
                  <w:r>
                    <w:rPr>
                      <w:color w:val="000000"/>
                      <w:spacing w:val="-1"/>
                    </w:rPr>
                    <w:t>身故或全残保险金”责任，</w:t>
                  </w:r>
                </w:p>
              </w:txbxContent>
            </v:textbox>
            <v:fill type="solid"/>
            <w10:wrap type="none"/>
          </v:shape>
        </w:pict>
      </w:r>
      <w:r>
        <w:rPr>
          <w:color w:val="000000"/>
          <w:spacing w:val="-3"/>
          <w:shd w:fill="BEBEBE" w:color="auto" w:val="clear"/>
        </w:rPr>
        <w:t>本合同的现金价值自被保</w:t>
      </w:r>
    </w:p>
    <w:p>
      <w:pPr>
        <w:pStyle w:val="BodyText"/>
        <w:spacing w:before="44"/>
      </w:pPr>
      <w:r>
        <w:rPr>
          <w:color w:val="000000"/>
          <w:spacing w:val="-3"/>
          <w:shd w:fill="BEBEBE" w:color="auto" w:val="clear"/>
        </w:rPr>
        <w:t>险人第一次重大疾病确诊之日起降低为零。</w:t>
      </w:r>
    </w:p>
    <w:p>
      <w:pPr>
        <w:pStyle w:val="ListParagraph"/>
        <w:numPr>
          <w:ilvl w:val="0"/>
          <w:numId w:val="1"/>
        </w:numPr>
        <w:tabs>
          <w:tab w:pos="1187" w:val="left" w:leader="none"/>
        </w:tabs>
        <w:spacing w:line="240" w:lineRule="auto" w:before="43" w:after="0"/>
        <w:ind w:left="1187" w:right="0" w:hanging="529"/>
        <w:jc w:val="left"/>
        <w:rPr>
          <w:sz w:val="21"/>
        </w:rPr>
      </w:pPr>
      <w:r>
        <w:rPr>
          <w:spacing w:val="-3"/>
          <w:sz w:val="21"/>
        </w:rPr>
        <w:t>第二次重大疾病保险金</w:t>
      </w:r>
    </w:p>
    <w:p>
      <w:pPr>
        <w:pStyle w:val="BodyText"/>
        <w:spacing w:line="278" w:lineRule="auto" w:before="43"/>
        <w:ind w:right="1548" w:firstLine="419"/>
        <w:jc w:val="both"/>
      </w:pPr>
      <w:r>
        <w:rPr>
          <w:spacing w:val="-3"/>
        </w:rPr>
        <w:t>本公司给付第一次重大疾病保险金后，若被保险人于第一次重大疾病确诊之日起满 </w:t>
      </w:r>
      <w:r>
        <w:rPr>
          <w:spacing w:val="-2"/>
        </w:rPr>
        <w:t>365</w:t>
      </w:r>
      <w:r>
        <w:rPr>
          <w:spacing w:val="-12"/>
        </w:rPr>
        <w:t>日后，由本公司指定或认可的医院的专科医生确诊初次发生本合同所列的除第一次重大疾病</w:t>
      </w:r>
      <w:r>
        <w:rPr>
          <w:spacing w:val="-2"/>
        </w:rPr>
        <w:t>以外的其他重大疾病（无论一种或多种</w:t>
      </w:r>
      <w:r>
        <w:rPr>
          <w:spacing w:val="-64"/>
        </w:rPr>
        <w:t>）</w:t>
      </w:r>
      <w:r>
        <w:rPr>
          <w:spacing w:val="-12"/>
        </w:rPr>
        <w:t>，本公司按本合同约定的基本保险金额的 </w:t>
      </w:r>
      <w:r>
        <w:rPr>
          <w:spacing w:val="-2"/>
        </w:rPr>
        <w:t>120%给付</w:t>
      </w:r>
      <w:r>
        <w:rPr>
          <w:spacing w:val="-2"/>
        </w:rPr>
        <w:t>第二次重大疾病保险金，本合同第二次重大疾病保险金责任终止。</w:t>
      </w:r>
    </w:p>
    <w:p>
      <w:pPr>
        <w:pStyle w:val="ListParagraph"/>
        <w:numPr>
          <w:ilvl w:val="0"/>
          <w:numId w:val="1"/>
        </w:numPr>
        <w:tabs>
          <w:tab w:pos="1187" w:val="left" w:leader="none"/>
        </w:tabs>
        <w:spacing w:line="269" w:lineRule="exact" w:before="0" w:after="0"/>
        <w:ind w:left="1187" w:right="0" w:hanging="529"/>
        <w:jc w:val="left"/>
        <w:rPr>
          <w:sz w:val="21"/>
        </w:rPr>
      </w:pPr>
      <w:r>
        <w:rPr>
          <w:spacing w:val="-3"/>
          <w:sz w:val="21"/>
        </w:rPr>
        <w:t>第三次重大疾病保险金</w:t>
      </w:r>
    </w:p>
    <w:p>
      <w:pPr>
        <w:spacing w:after="0" w:line="269" w:lineRule="exact"/>
        <w:jc w:val="left"/>
        <w:rPr>
          <w:sz w:val="21"/>
        </w:rPr>
        <w:sectPr>
          <w:pgSz w:w="11910" w:h="16840"/>
          <w:pgMar w:header="0" w:footer="1005" w:top="1400" w:bottom="1200" w:left="1560" w:right="240"/>
        </w:sectPr>
      </w:pPr>
    </w:p>
    <w:p>
      <w:pPr>
        <w:pStyle w:val="BodyText"/>
        <w:spacing w:line="278" w:lineRule="auto" w:before="44"/>
        <w:ind w:right="1548" w:firstLine="419"/>
        <w:jc w:val="both"/>
      </w:pPr>
      <w:r>
        <w:rPr>
          <w:spacing w:val="-3"/>
        </w:rPr>
        <w:t>本公司给付第二次重大疾病保险金后，若被保险人于第二次重大疾病确诊之日起满 </w:t>
      </w:r>
      <w:r>
        <w:rPr>
          <w:spacing w:val="-2"/>
        </w:rPr>
        <w:t>365</w:t>
      </w:r>
      <w:r>
        <w:rPr>
          <w:spacing w:val="-12"/>
        </w:rPr>
        <w:t>日后，由本公司指定或认可的医院的专科医生确诊初次发生本合同所列的除前两次重大疾病</w:t>
      </w:r>
      <w:r>
        <w:rPr>
          <w:spacing w:val="-2"/>
        </w:rPr>
        <w:t>以外的其他重大疾病（无论一种或多种</w:t>
      </w:r>
      <w:r>
        <w:rPr>
          <w:spacing w:val="-64"/>
        </w:rPr>
        <w:t>）</w:t>
      </w:r>
      <w:r>
        <w:rPr>
          <w:spacing w:val="-12"/>
        </w:rPr>
        <w:t>，本公司按本合同约定的基本保险金额的 </w:t>
      </w:r>
      <w:r>
        <w:rPr>
          <w:spacing w:val="-2"/>
        </w:rPr>
        <w:t>130%给付</w:t>
      </w:r>
      <w:r>
        <w:rPr>
          <w:spacing w:val="-2"/>
        </w:rPr>
        <w:t>第三次重大疾病保险金，本合同第三次重大疾病保险金责任终止。</w:t>
      </w:r>
    </w:p>
    <w:p>
      <w:pPr>
        <w:pStyle w:val="BodyText"/>
        <w:spacing w:after="20"/>
        <w:ind w:left="658"/>
        <w:jc w:val="both"/>
      </w:pPr>
      <w:r>
        <w:rPr/>
        <w:t>如投保人未选择本合同“可选责任 </w:t>
      </w:r>
      <w:r>
        <w:rPr>
          <w:spacing w:val="-2"/>
        </w:rPr>
        <w:t>2.‘</w:t>
      </w:r>
      <w:r>
        <w:rPr>
          <w:spacing w:val="-3"/>
        </w:rPr>
        <w:t>恶性肿瘤——重度’医疗津贴保险金”或“可</w:t>
      </w:r>
    </w:p>
    <w:tbl>
      <w:tblPr>
        <w:tblW w:w="0" w:type="auto"/>
        <w:jc w:val="left"/>
        <w:tblInd w:w="2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20"/>
        <w:gridCol w:w="840"/>
        <w:gridCol w:w="6515"/>
        <w:gridCol w:w="331"/>
        <w:gridCol w:w="206"/>
      </w:tblGrid>
      <w:tr>
        <w:trPr>
          <w:trHeight w:val="293" w:hRule="atLeast"/>
        </w:trPr>
        <w:tc>
          <w:tcPr>
            <w:tcW w:w="8106" w:type="dxa"/>
            <w:gridSpan w:val="4"/>
            <w:tcBorders>
              <w:bottom w:val="single" w:sz="8" w:space="0" w:color="FFFFFF"/>
            </w:tcBorders>
          </w:tcPr>
          <w:p>
            <w:pPr>
              <w:pStyle w:val="TableParagraph"/>
              <w:spacing w:line="251" w:lineRule="exact" w:before="22"/>
              <w:ind w:left="0" w:right="-15"/>
              <w:rPr>
                <w:sz w:val="21"/>
              </w:rPr>
            </w:pPr>
            <w:r>
              <w:rPr>
                <w:spacing w:val="4"/>
                <w:sz w:val="21"/>
              </w:rPr>
              <w:t>选责任 </w:t>
            </w:r>
            <w:r>
              <w:rPr>
                <w:spacing w:val="-2"/>
                <w:sz w:val="21"/>
              </w:rPr>
              <w:t>3</w:t>
            </w:r>
            <w:r>
              <w:rPr>
                <w:spacing w:val="-13"/>
                <w:sz w:val="21"/>
              </w:rPr>
              <w:t>.特定心脑血管疾病保险金”，本公司给付第三次重大疾病保险金后本合同终止。</w:t>
            </w:r>
          </w:p>
        </w:tc>
        <w:tc>
          <w:tcPr>
            <w:tcW w:w="206" w:type="dxa"/>
            <w:tcBorders>
              <w:bottom w:val="single" w:sz="8" w:space="0" w:color="FFFFFF"/>
            </w:tcBorders>
            <w:shd w:val="clear" w:color="auto" w:fill="C0C0C0"/>
          </w:tcPr>
          <w:p>
            <w:pPr>
              <w:pStyle w:val="TableParagraph"/>
              <w:spacing w:line="251" w:lineRule="exact" w:before="22"/>
              <w:ind w:left="0" w:right="-15"/>
              <w:rPr>
                <w:sz w:val="21"/>
              </w:rPr>
            </w:pPr>
            <w:r>
              <w:rPr>
                <w:w w:val="100"/>
                <w:sz w:val="21"/>
              </w:rPr>
              <w:t>如</w:t>
            </w:r>
          </w:p>
        </w:tc>
      </w:tr>
      <w:tr>
        <w:trPr>
          <w:trHeight w:val="292" w:hRule="atLeast"/>
        </w:trPr>
        <w:tc>
          <w:tcPr>
            <w:tcW w:w="8312" w:type="dxa"/>
            <w:gridSpan w:val="5"/>
            <w:tcBorders>
              <w:top w:val="single" w:sz="8" w:space="0" w:color="FFFFFF"/>
              <w:bottom w:val="single" w:sz="8" w:space="0" w:color="FFFFFF"/>
            </w:tcBorders>
            <w:shd w:val="clear" w:color="auto" w:fill="C0C0C0"/>
          </w:tcPr>
          <w:p>
            <w:pPr>
              <w:pStyle w:val="TableParagraph"/>
              <w:spacing w:line="251" w:lineRule="exact" w:before="21"/>
              <w:ind w:left="0" w:right="-15"/>
              <w:rPr>
                <w:sz w:val="21"/>
              </w:rPr>
            </w:pPr>
            <w:r>
              <w:rPr>
                <w:spacing w:val="-6"/>
                <w:sz w:val="21"/>
              </w:rPr>
              <w:t>投保人选择本合同“可选责任 </w:t>
            </w:r>
            <w:r>
              <w:rPr>
                <w:spacing w:val="-2"/>
                <w:sz w:val="21"/>
              </w:rPr>
              <w:t>2</w:t>
            </w:r>
            <w:r>
              <w:rPr>
                <w:spacing w:val="-3"/>
                <w:sz w:val="21"/>
              </w:rPr>
              <w:t>.‘恶性肿瘤——重度’医疗津贴保险金”或“可选责任 </w:t>
            </w:r>
            <w:r>
              <w:rPr>
                <w:spacing w:val="-5"/>
                <w:sz w:val="21"/>
              </w:rPr>
              <w:t>3.</w:t>
            </w:r>
          </w:p>
        </w:tc>
      </w:tr>
      <w:tr>
        <w:trPr>
          <w:trHeight w:val="292" w:hRule="atLeast"/>
        </w:trPr>
        <w:tc>
          <w:tcPr>
            <w:tcW w:w="8312" w:type="dxa"/>
            <w:gridSpan w:val="5"/>
            <w:tcBorders>
              <w:top w:val="single" w:sz="8" w:space="0" w:color="FFFFFF"/>
              <w:bottom w:val="single" w:sz="8" w:space="0" w:color="FFFFFF"/>
            </w:tcBorders>
            <w:shd w:val="clear" w:color="auto" w:fill="C0C0C0"/>
          </w:tcPr>
          <w:p>
            <w:pPr>
              <w:pStyle w:val="TableParagraph"/>
              <w:spacing w:line="251" w:lineRule="exact" w:before="21"/>
              <w:ind w:left="0" w:right="-15"/>
              <w:rPr>
                <w:sz w:val="21"/>
              </w:rPr>
            </w:pPr>
            <w:r>
              <w:rPr>
                <w:spacing w:val="-14"/>
                <w:sz w:val="21"/>
              </w:rPr>
              <w:t>特定心脑血管疾病保险金”，本公司给付第三次重大疾病保险金后，除“可选责任 </w:t>
            </w:r>
            <w:r>
              <w:rPr>
                <w:spacing w:val="-4"/>
                <w:sz w:val="21"/>
              </w:rPr>
              <w:t>2</w:t>
            </w:r>
            <w:r>
              <w:rPr>
                <w:spacing w:val="-6"/>
                <w:sz w:val="21"/>
              </w:rPr>
              <w:t>.‘恶性</w:t>
            </w:r>
          </w:p>
        </w:tc>
      </w:tr>
      <w:tr>
        <w:trPr>
          <w:trHeight w:val="291" w:hRule="atLeast"/>
        </w:trPr>
        <w:tc>
          <w:tcPr>
            <w:tcW w:w="8312" w:type="dxa"/>
            <w:gridSpan w:val="5"/>
            <w:tcBorders>
              <w:top w:val="single" w:sz="8" w:space="0" w:color="FFFFFF"/>
              <w:bottom w:val="single" w:sz="8" w:space="0" w:color="FFFFFF"/>
            </w:tcBorders>
            <w:shd w:val="clear" w:color="auto" w:fill="C0C0C0"/>
          </w:tcPr>
          <w:p>
            <w:pPr>
              <w:pStyle w:val="TableParagraph"/>
              <w:spacing w:line="251" w:lineRule="exact" w:before="21"/>
              <w:ind w:left="0" w:right="-15"/>
              <w:rPr>
                <w:sz w:val="21"/>
              </w:rPr>
            </w:pPr>
            <w:r>
              <w:rPr>
                <w:sz w:val="21"/>
              </w:rPr>
              <w:t>肿瘤——重度’医疗津贴保险金”或“可选责任 </w:t>
            </w:r>
            <w:r>
              <w:rPr>
                <w:spacing w:val="-2"/>
                <w:sz w:val="21"/>
              </w:rPr>
              <w:t>3</w:t>
            </w:r>
            <w:r>
              <w:rPr>
                <w:spacing w:val="-3"/>
                <w:sz w:val="21"/>
              </w:rPr>
              <w:t>.特定心脑血管疾病保险金”外的其他保</w:t>
            </w:r>
          </w:p>
        </w:tc>
      </w:tr>
      <w:tr>
        <w:trPr>
          <w:trHeight w:val="292" w:hRule="atLeast"/>
        </w:trPr>
        <w:tc>
          <w:tcPr>
            <w:tcW w:w="1260" w:type="dxa"/>
            <w:gridSpan w:val="2"/>
            <w:tcBorders>
              <w:top w:val="single" w:sz="8" w:space="0" w:color="FFFFFF"/>
              <w:bottom w:val="single" w:sz="8" w:space="0" w:color="FFFFFF"/>
            </w:tcBorders>
            <w:shd w:val="clear" w:color="auto" w:fill="C0C0C0"/>
          </w:tcPr>
          <w:p>
            <w:pPr>
              <w:pStyle w:val="TableParagraph"/>
              <w:spacing w:line="251" w:lineRule="exact" w:before="21"/>
              <w:ind w:left="0" w:right="-15"/>
              <w:rPr>
                <w:sz w:val="21"/>
              </w:rPr>
            </w:pPr>
            <w:r>
              <w:rPr>
                <w:spacing w:val="-4"/>
                <w:sz w:val="21"/>
              </w:rPr>
              <w:t>险责任终止。</w:t>
            </w:r>
          </w:p>
        </w:tc>
        <w:tc>
          <w:tcPr>
            <w:tcW w:w="7052" w:type="dxa"/>
            <w:gridSpan w:val="3"/>
            <w:tcBorders>
              <w:top w:val="single" w:sz="8" w:space="0" w:color="FFFFFF"/>
              <w:bottom w:val="single" w:sz="8" w:space="0" w:color="FFFFFF"/>
            </w:tcBorders>
          </w:tcPr>
          <w:p>
            <w:pPr>
              <w:pStyle w:val="TableParagraph"/>
              <w:spacing w:before="0"/>
              <w:ind w:left="0"/>
              <w:rPr>
                <w:rFonts w:ascii="Times New Roman"/>
                <w:sz w:val="20"/>
              </w:rPr>
            </w:pPr>
          </w:p>
        </w:tc>
      </w:tr>
      <w:tr>
        <w:trPr>
          <w:trHeight w:val="291" w:hRule="atLeast"/>
        </w:trPr>
        <w:tc>
          <w:tcPr>
            <w:tcW w:w="420" w:type="dxa"/>
            <w:tcBorders>
              <w:top w:val="single" w:sz="8" w:space="0" w:color="FFFFFF"/>
              <w:bottom w:val="single" w:sz="8" w:space="0" w:color="FFFFFF"/>
            </w:tcBorders>
          </w:tcPr>
          <w:p>
            <w:pPr>
              <w:pStyle w:val="TableParagraph"/>
              <w:spacing w:before="0"/>
              <w:ind w:left="0"/>
              <w:rPr>
                <w:rFonts w:ascii="Times New Roman"/>
                <w:sz w:val="20"/>
              </w:rPr>
            </w:pPr>
          </w:p>
        </w:tc>
        <w:tc>
          <w:tcPr>
            <w:tcW w:w="7892" w:type="dxa"/>
            <w:gridSpan w:val="4"/>
            <w:tcBorders>
              <w:top w:val="single" w:sz="8" w:space="0" w:color="FFFFFF"/>
              <w:bottom w:val="single" w:sz="8" w:space="0" w:color="FFFFFF"/>
            </w:tcBorders>
            <w:shd w:val="clear" w:color="auto" w:fill="C0C0C0"/>
          </w:tcPr>
          <w:p>
            <w:pPr>
              <w:pStyle w:val="TableParagraph"/>
              <w:spacing w:line="251" w:lineRule="exact" w:before="21"/>
              <w:ind w:left="-1" w:right="-15"/>
              <w:rPr>
                <w:sz w:val="21"/>
              </w:rPr>
            </w:pPr>
            <w:r>
              <w:rPr>
                <w:spacing w:val="-5"/>
                <w:sz w:val="21"/>
              </w:rPr>
              <w:t>如果被保险人因同一疾病原因、同次医疗行为或同次意外伤害事故，导致同时确诊初次</w:t>
            </w:r>
          </w:p>
        </w:tc>
      </w:tr>
      <w:tr>
        <w:trPr>
          <w:trHeight w:val="292" w:hRule="atLeast"/>
        </w:trPr>
        <w:tc>
          <w:tcPr>
            <w:tcW w:w="8312" w:type="dxa"/>
            <w:gridSpan w:val="5"/>
            <w:tcBorders>
              <w:top w:val="single" w:sz="8" w:space="0" w:color="FFFFFF"/>
              <w:bottom w:val="single" w:sz="8" w:space="0" w:color="FFFFFF"/>
            </w:tcBorders>
            <w:shd w:val="clear" w:color="auto" w:fill="C0C0C0"/>
          </w:tcPr>
          <w:p>
            <w:pPr>
              <w:pStyle w:val="TableParagraph"/>
              <w:spacing w:line="251" w:lineRule="exact" w:before="21"/>
              <w:ind w:left="0" w:right="-15"/>
              <w:rPr>
                <w:sz w:val="21"/>
              </w:rPr>
            </w:pPr>
            <w:r>
              <w:rPr>
                <w:spacing w:val="-8"/>
                <w:sz w:val="21"/>
              </w:rPr>
              <w:t>发生本合同所列的两种或两种以上的重大疾病，本公司仅按一种重大疾病给付重大疾病保险</w:t>
            </w:r>
          </w:p>
        </w:tc>
      </w:tr>
      <w:tr>
        <w:trPr>
          <w:trHeight w:val="310" w:hRule="atLeast"/>
        </w:trPr>
        <w:tc>
          <w:tcPr>
            <w:tcW w:w="420" w:type="dxa"/>
            <w:tcBorders>
              <w:top w:val="single" w:sz="8" w:space="0" w:color="FFFFFF"/>
            </w:tcBorders>
            <w:shd w:val="clear" w:color="auto" w:fill="C0C0C0"/>
          </w:tcPr>
          <w:p>
            <w:pPr>
              <w:pStyle w:val="TableParagraph"/>
              <w:spacing w:before="21"/>
              <w:ind w:left="0" w:right="-15"/>
              <w:rPr>
                <w:sz w:val="21"/>
              </w:rPr>
            </w:pPr>
            <w:r>
              <w:rPr>
                <w:spacing w:val="-5"/>
                <w:sz w:val="21"/>
              </w:rPr>
              <w:t>金。</w:t>
            </w:r>
          </w:p>
        </w:tc>
        <w:tc>
          <w:tcPr>
            <w:tcW w:w="7892" w:type="dxa"/>
            <w:gridSpan w:val="4"/>
            <w:tcBorders>
              <w:top w:val="single" w:sz="8" w:space="0" w:color="FFFFFF"/>
            </w:tcBorders>
          </w:tcPr>
          <w:p>
            <w:pPr>
              <w:pStyle w:val="TableParagraph"/>
              <w:spacing w:before="0"/>
              <w:ind w:left="0"/>
              <w:rPr>
                <w:rFonts w:ascii="Times New Roman"/>
                <w:sz w:val="20"/>
              </w:rPr>
            </w:pPr>
          </w:p>
        </w:tc>
      </w:tr>
      <w:tr>
        <w:trPr>
          <w:trHeight w:val="294" w:hRule="atLeast"/>
        </w:trPr>
        <w:tc>
          <w:tcPr>
            <w:tcW w:w="420" w:type="dxa"/>
            <w:tcBorders>
              <w:bottom w:val="single" w:sz="8" w:space="0" w:color="FFFFFF"/>
            </w:tcBorders>
          </w:tcPr>
          <w:p>
            <w:pPr>
              <w:pStyle w:val="TableParagraph"/>
              <w:spacing w:before="0"/>
              <w:ind w:left="0"/>
              <w:rPr>
                <w:rFonts w:ascii="Times New Roman"/>
                <w:sz w:val="20"/>
              </w:rPr>
            </w:pPr>
          </w:p>
        </w:tc>
        <w:tc>
          <w:tcPr>
            <w:tcW w:w="7892" w:type="dxa"/>
            <w:gridSpan w:val="4"/>
            <w:tcBorders>
              <w:bottom w:val="single" w:sz="8" w:space="0" w:color="FFFFFF"/>
            </w:tcBorders>
            <w:shd w:val="clear" w:color="auto" w:fill="C0C0C0"/>
          </w:tcPr>
          <w:p>
            <w:pPr>
              <w:pStyle w:val="TableParagraph"/>
              <w:spacing w:line="251" w:lineRule="exact" w:before="23"/>
              <w:ind w:left="-1" w:right="-15"/>
              <w:rPr>
                <w:sz w:val="21"/>
              </w:rPr>
            </w:pPr>
            <w:r>
              <w:rPr>
                <w:spacing w:val="-5"/>
                <w:sz w:val="21"/>
              </w:rPr>
              <w:t>如果被保险人在申请理赔时同时符合“重大疾病保险金”和“中症疾病保险金”保险责</w:t>
            </w:r>
          </w:p>
        </w:tc>
      </w:tr>
      <w:tr>
        <w:trPr>
          <w:trHeight w:val="292" w:hRule="atLeast"/>
        </w:trPr>
        <w:tc>
          <w:tcPr>
            <w:tcW w:w="8312" w:type="dxa"/>
            <w:gridSpan w:val="5"/>
            <w:tcBorders>
              <w:top w:val="single" w:sz="8" w:space="0" w:color="FFFFFF"/>
              <w:bottom w:val="single" w:sz="8" w:space="0" w:color="FFFFFF"/>
            </w:tcBorders>
            <w:shd w:val="clear" w:color="auto" w:fill="C0C0C0"/>
          </w:tcPr>
          <w:p>
            <w:pPr>
              <w:pStyle w:val="TableParagraph"/>
              <w:spacing w:line="251" w:lineRule="exact" w:before="21"/>
              <w:ind w:left="0" w:right="-15"/>
              <w:rPr>
                <w:sz w:val="21"/>
              </w:rPr>
            </w:pPr>
            <w:r>
              <w:rPr>
                <w:spacing w:val="-5"/>
                <w:sz w:val="21"/>
              </w:rPr>
              <w:t>任，则本公司仅承担“重大疾病保险金”的给付责任；如果被保险人在申请理赔时同时符合</w:t>
            </w:r>
          </w:p>
        </w:tc>
      </w:tr>
      <w:tr>
        <w:trPr>
          <w:trHeight w:val="291" w:hRule="atLeast"/>
        </w:trPr>
        <w:tc>
          <w:tcPr>
            <w:tcW w:w="8312" w:type="dxa"/>
            <w:gridSpan w:val="5"/>
            <w:tcBorders>
              <w:top w:val="single" w:sz="8" w:space="0" w:color="FFFFFF"/>
              <w:bottom w:val="single" w:sz="8" w:space="0" w:color="FFFFFF"/>
            </w:tcBorders>
            <w:shd w:val="clear" w:color="auto" w:fill="C0C0C0"/>
          </w:tcPr>
          <w:p>
            <w:pPr>
              <w:pStyle w:val="TableParagraph"/>
              <w:spacing w:line="251" w:lineRule="exact" w:before="21"/>
              <w:ind w:left="0" w:right="-101"/>
              <w:rPr>
                <w:sz w:val="21"/>
              </w:rPr>
            </w:pPr>
            <w:r>
              <w:rPr>
                <w:spacing w:val="-3"/>
                <w:sz w:val="21"/>
              </w:rPr>
              <w:t>“重大疾病保险金”和“轻症疾病保险金”保险责任，则本公司仅承担“重大疾病保险金”</w:t>
            </w:r>
          </w:p>
        </w:tc>
      </w:tr>
      <w:tr>
        <w:trPr>
          <w:trHeight w:val="292" w:hRule="atLeast"/>
        </w:trPr>
        <w:tc>
          <w:tcPr>
            <w:tcW w:w="8312" w:type="dxa"/>
            <w:gridSpan w:val="5"/>
            <w:tcBorders>
              <w:top w:val="single" w:sz="8" w:space="0" w:color="FFFFFF"/>
              <w:bottom w:val="single" w:sz="8" w:space="0" w:color="FFFFFF"/>
            </w:tcBorders>
            <w:shd w:val="clear" w:color="auto" w:fill="C0C0C0"/>
          </w:tcPr>
          <w:p>
            <w:pPr>
              <w:pStyle w:val="TableParagraph"/>
              <w:spacing w:line="251" w:lineRule="exact" w:before="21"/>
              <w:ind w:left="0" w:right="-101"/>
              <w:rPr>
                <w:sz w:val="21"/>
              </w:rPr>
            </w:pPr>
            <w:r>
              <w:rPr>
                <w:spacing w:val="-10"/>
                <w:sz w:val="21"/>
              </w:rPr>
              <w:t>的给付责任；如果被保险人在申请理赔时同时符合“重大疾病保险金”、“中症疾病保险金”</w:t>
            </w:r>
          </w:p>
        </w:tc>
      </w:tr>
      <w:tr>
        <w:trPr>
          <w:trHeight w:val="293" w:hRule="atLeast"/>
        </w:trPr>
        <w:tc>
          <w:tcPr>
            <w:tcW w:w="7775" w:type="dxa"/>
            <w:gridSpan w:val="3"/>
            <w:tcBorders>
              <w:top w:val="single" w:sz="8" w:space="0" w:color="FFFFFF"/>
            </w:tcBorders>
            <w:shd w:val="clear" w:color="auto" w:fill="C0C0C0"/>
          </w:tcPr>
          <w:p>
            <w:pPr>
              <w:pStyle w:val="TableParagraph"/>
              <w:spacing w:line="252" w:lineRule="exact" w:before="21"/>
              <w:ind w:left="0" w:right="-15"/>
              <w:rPr>
                <w:sz w:val="21"/>
              </w:rPr>
            </w:pPr>
            <w:r>
              <w:rPr>
                <w:spacing w:val="-3"/>
                <w:sz w:val="21"/>
              </w:rPr>
              <w:t>和“轻症疾病保险金”保险责任，则本公司仅承担“重大疾病保险金”的给付责任。</w:t>
            </w:r>
          </w:p>
        </w:tc>
        <w:tc>
          <w:tcPr>
            <w:tcW w:w="537" w:type="dxa"/>
            <w:gridSpan w:val="2"/>
            <w:tcBorders>
              <w:top w:val="single" w:sz="8" w:space="0" w:color="FFFFFF"/>
            </w:tcBorders>
          </w:tcPr>
          <w:p>
            <w:pPr>
              <w:pStyle w:val="TableParagraph"/>
              <w:spacing w:before="0"/>
              <w:ind w:left="0"/>
              <w:rPr>
                <w:rFonts w:ascii="Times New Roman"/>
                <w:sz w:val="20"/>
              </w:rPr>
            </w:pPr>
          </w:p>
        </w:tc>
      </w:tr>
    </w:tbl>
    <w:p>
      <w:pPr>
        <w:pStyle w:val="ListParagraph"/>
        <w:numPr>
          <w:ilvl w:val="0"/>
          <w:numId w:val="2"/>
        </w:numPr>
        <w:tabs>
          <w:tab w:pos="871" w:val="left" w:leader="none"/>
        </w:tabs>
        <w:spacing w:line="240" w:lineRule="auto" w:before="44" w:after="0"/>
        <w:ind w:left="870" w:right="0" w:hanging="213"/>
        <w:jc w:val="left"/>
        <w:rPr>
          <w:sz w:val="21"/>
        </w:rPr>
      </w:pPr>
      <w:r>
        <w:rPr>
          <w:spacing w:val="-4"/>
          <w:sz w:val="21"/>
        </w:rPr>
        <w:t>中症疾病保险金</w:t>
      </w:r>
    </w:p>
    <w:p>
      <w:pPr>
        <w:pStyle w:val="ListParagraph"/>
        <w:numPr>
          <w:ilvl w:val="0"/>
          <w:numId w:val="3"/>
        </w:numPr>
        <w:tabs>
          <w:tab w:pos="1187" w:val="left" w:leader="none"/>
        </w:tabs>
        <w:spacing w:line="240" w:lineRule="auto" w:before="43" w:after="0"/>
        <w:ind w:left="1187" w:right="0" w:hanging="529"/>
        <w:jc w:val="left"/>
        <w:rPr>
          <w:sz w:val="21"/>
        </w:rPr>
      </w:pPr>
      <w:r>
        <w:rPr>
          <w:spacing w:val="-3"/>
          <w:sz w:val="21"/>
        </w:rPr>
        <w:t>第一次中症疾病保险金</w:t>
      </w:r>
    </w:p>
    <w:p>
      <w:pPr>
        <w:pStyle w:val="BodyText"/>
        <w:spacing w:line="278" w:lineRule="auto" w:before="43"/>
        <w:ind w:right="1548" w:firstLine="419"/>
        <w:jc w:val="both"/>
      </w:pPr>
      <w:r>
        <w:rPr>
          <w:spacing w:val="-3"/>
        </w:rPr>
        <w:t>被保险人因意外伤害或于等待期后因意外伤害以外的原因，且在年满 </w:t>
      </w:r>
      <w:r>
        <w:rPr>
          <w:spacing w:val="-2"/>
        </w:rPr>
        <w:t>60</w:t>
      </w:r>
      <w:r>
        <w:rPr>
          <w:spacing w:val="-6"/>
        </w:rPr>
        <w:t> 周岁的首个保</w:t>
      </w:r>
      <w:r>
        <w:rPr>
          <w:spacing w:val="-4"/>
        </w:rPr>
        <w:t>险单周年日（不含当日）之前，由本公司指定或认可的医院的专科医生确诊初次发生本合同</w:t>
      </w:r>
      <w:r>
        <w:rPr/>
        <w:t>所列的中症疾病（无论一种或多种</w:t>
      </w:r>
      <w:r>
        <w:rPr>
          <w:spacing w:val="-108"/>
        </w:rPr>
        <w:t>）</w:t>
      </w:r>
      <w:r>
        <w:rPr>
          <w:spacing w:val="-1"/>
        </w:rPr>
        <w:t>，本公司按本合同约定的基本保险金额的 </w:t>
      </w:r>
      <w:r>
        <w:rPr/>
        <w:t>90%给付第一</w:t>
      </w:r>
      <w:r>
        <w:rPr>
          <w:spacing w:val="-2"/>
        </w:rPr>
        <w:t>次中症疾病保险金，本合同第一次中症疾病保险金责任终止。</w:t>
      </w:r>
    </w:p>
    <w:p>
      <w:pPr>
        <w:pStyle w:val="BodyText"/>
        <w:spacing w:line="278" w:lineRule="auto"/>
        <w:ind w:right="1548" w:firstLine="419"/>
        <w:jc w:val="both"/>
      </w:pPr>
      <w:r>
        <w:rPr>
          <w:spacing w:val="-3"/>
        </w:rPr>
        <w:t>被保险人因意外伤害或于等待期后因意外伤害以外的原因，且在年满 </w:t>
      </w:r>
      <w:r>
        <w:rPr>
          <w:spacing w:val="-2"/>
        </w:rPr>
        <w:t>60</w:t>
      </w:r>
      <w:r>
        <w:rPr>
          <w:spacing w:val="-6"/>
        </w:rPr>
        <w:t> 周岁的首个保</w:t>
      </w:r>
      <w:r>
        <w:rPr>
          <w:spacing w:val="-4"/>
        </w:rPr>
        <w:t>险单周年日（含当日）之后，由本公司指定或认可的医院的专科医生确诊初次发生本合同所</w:t>
      </w:r>
      <w:r>
        <w:rPr/>
        <w:t>列的中症疾病（无论一种或多种</w:t>
      </w:r>
      <w:r>
        <w:rPr>
          <w:spacing w:val="-106"/>
        </w:rPr>
        <w:t>）</w:t>
      </w:r>
      <w:r>
        <w:rPr>
          <w:spacing w:val="-3"/>
        </w:rPr>
        <w:t>，本公司按本合同约定的基本保险金额的 </w:t>
      </w:r>
      <w:r>
        <w:rPr/>
        <w:t>60%给付第一次</w:t>
      </w:r>
      <w:r>
        <w:rPr>
          <w:spacing w:val="-2"/>
        </w:rPr>
        <w:t>中症疾病保险金，本合同第一次中症疾病保险金责任终止。</w:t>
      </w:r>
    </w:p>
    <w:p>
      <w:pPr>
        <w:pStyle w:val="ListParagraph"/>
        <w:numPr>
          <w:ilvl w:val="0"/>
          <w:numId w:val="3"/>
        </w:numPr>
        <w:tabs>
          <w:tab w:pos="1187" w:val="left" w:leader="none"/>
        </w:tabs>
        <w:spacing w:line="240" w:lineRule="auto" w:before="0" w:after="0"/>
        <w:ind w:left="1187" w:right="0" w:hanging="529"/>
        <w:jc w:val="left"/>
        <w:rPr>
          <w:sz w:val="21"/>
        </w:rPr>
      </w:pPr>
      <w:r>
        <w:rPr>
          <w:spacing w:val="-3"/>
          <w:sz w:val="21"/>
        </w:rPr>
        <w:t>第二次中症疾病保险金</w:t>
      </w:r>
    </w:p>
    <w:p>
      <w:pPr>
        <w:pStyle w:val="BodyText"/>
        <w:spacing w:line="278" w:lineRule="auto" w:before="42"/>
        <w:ind w:right="1548" w:firstLine="419"/>
        <w:jc w:val="both"/>
      </w:pPr>
      <w:r>
        <w:rPr/>
        <w:pict>
          <v:shape style="position:absolute;margin-left:110.900002pt;margin-top:63.359997pt;width:394.65pt;height:14.8pt;mso-position-horizontal-relative:page;mso-position-vertical-relative:paragraph;z-index:15737344" type="#_x0000_t202" id="docshape12" filled="true" fillcolor="#c0c0c0" stroked="false">
            <v:textbox inset="0,0,0,0">
              <w:txbxContent>
                <w:p>
                  <w:pPr>
                    <w:pStyle w:val="BodyText"/>
                    <w:spacing w:before="22"/>
                    <w:ind w:left="-1" w:right="-15"/>
                    <w:rPr>
                      <w:color w:val="000000"/>
                    </w:rPr>
                  </w:pPr>
                  <w:r>
                    <w:rPr>
                      <w:color w:val="000000"/>
                      <w:spacing w:val="-5"/>
                    </w:rPr>
                    <w:t>如果被保险人因同一疾病原因、同次医疗行为或同次意外伤害事故，导致初次发生本合</w:t>
                  </w:r>
                </w:p>
              </w:txbxContent>
            </v:textbox>
            <v:fill type="solid"/>
            <w10:wrap type="none"/>
          </v:shape>
        </w:pict>
      </w:r>
      <w:r>
        <w:rPr>
          <w:spacing w:val="-8"/>
        </w:rPr>
        <w:t>本公司给付第一次中症疾病保险金后，若被保险人由本公司指定或认可的医院的专科医</w:t>
      </w:r>
      <w:r>
        <w:rPr>
          <w:spacing w:val="-2"/>
        </w:rPr>
        <w:t>生确诊初次发生本合同所列的除第一次中症疾病以外的其他中症疾病（无论一种或多种</w:t>
      </w:r>
      <w:r>
        <w:rPr>
          <w:spacing w:val="-108"/>
        </w:rPr>
        <w:t>）</w:t>
      </w:r>
      <w:r>
        <w:rPr/>
        <w:t>，</w:t>
      </w:r>
      <w:r>
        <w:rPr>
          <w:spacing w:val="-4"/>
        </w:rPr>
        <w:t>本公司按本合同约定的基本保险金额的 </w:t>
      </w:r>
      <w:r>
        <w:rPr>
          <w:spacing w:val="-2"/>
        </w:rPr>
        <w:t>60%给付第二次中症疾病保险金，本合同第二次中症</w:t>
      </w:r>
      <w:r>
        <w:rPr>
          <w:spacing w:val="-2"/>
        </w:rPr>
        <w:t>疾病保险金责任终止。</w:t>
      </w:r>
    </w:p>
    <w:p>
      <w:pPr>
        <w:pStyle w:val="BodyText"/>
        <w:spacing w:before="9"/>
        <w:ind w:left="0"/>
        <w:rPr>
          <w:sz w:val="20"/>
        </w:rPr>
      </w:pPr>
      <w:r>
        <w:rPr/>
        <w:pict>
          <v:shape style="position:absolute;margin-left:89.903999pt;margin-top:14.473125pt;width:399.35pt;height:14.8pt;mso-position-horizontal-relative:page;mso-position-vertical-relative:paragraph;z-index:-15722496;mso-wrap-distance-left:0;mso-wrap-distance-right:0" type="#_x0000_t202" id="docshape13" filled="true" fillcolor="#c0c0c0" stroked="false">
            <v:textbox inset="0,0,0,0">
              <w:txbxContent>
                <w:p>
                  <w:pPr>
                    <w:pStyle w:val="BodyText"/>
                    <w:spacing w:before="23"/>
                    <w:ind w:left="0" w:right="-15"/>
                    <w:rPr>
                      <w:color w:val="000000"/>
                    </w:rPr>
                  </w:pPr>
                  <w:r>
                    <w:rPr>
                      <w:color w:val="000000"/>
                      <w:spacing w:val="-3"/>
                    </w:rPr>
                    <w:t>同所列的两种或两种以上的中症疾病，本公司仅按一种中症疾病给付中症疾病保险金。</w:t>
                  </w:r>
                </w:p>
              </w:txbxContent>
            </v:textbox>
            <v:fill type="solid"/>
            <w10:wrap type="topAndBottom"/>
          </v:shape>
        </w:pict>
      </w:r>
    </w:p>
    <w:p>
      <w:pPr>
        <w:pStyle w:val="BodyText"/>
        <w:ind w:left="658"/>
        <w:rPr>
          <w:sz w:val="20"/>
        </w:rPr>
      </w:pPr>
      <w:r>
        <w:rPr>
          <w:sz w:val="20"/>
        </w:rPr>
        <w:pict>
          <v:shape style="width:394.65pt;height:14.8pt;mso-position-horizontal-relative:char;mso-position-vertical-relative:line" type="#_x0000_t202" id="docshape14" filled="true" fillcolor="#c0c0c0" stroked="false">
            <w10:anchorlock/>
            <v:textbox inset="0,0,0,0">
              <w:txbxContent>
                <w:p>
                  <w:pPr>
                    <w:pStyle w:val="BodyText"/>
                    <w:spacing w:before="22"/>
                    <w:ind w:left="-1" w:right="-15"/>
                    <w:rPr>
                      <w:color w:val="000000"/>
                    </w:rPr>
                  </w:pPr>
                  <w:r>
                    <w:rPr>
                      <w:color w:val="000000"/>
                      <w:spacing w:val="-7"/>
                    </w:rPr>
                    <w:t>如果被保险人在申请理赔时同时符合“中症疾病保险金”和“轻症疾病保险金”保险责</w:t>
                  </w:r>
                </w:p>
              </w:txbxContent>
            </v:textbox>
            <v:fill type="solid"/>
          </v:shape>
        </w:pict>
      </w:r>
      <w:r>
        <w:rPr>
          <w:sz w:val="20"/>
        </w:rPr>
      </w:r>
    </w:p>
    <w:p>
      <w:pPr>
        <w:pStyle w:val="BodyText"/>
        <w:rPr>
          <w:sz w:val="20"/>
        </w:rPr>
      </w:pPr>
      <w:r>
        <w:rPr>
          <w:sz w:val="20"/>
        </w:rPr>
        <w:pict>
          <v:shape style="width:252.2pt;height:14.8pt;mso-position-horizontal-relative:char;mso-position-vertical-relative:line" type="#_x0000_t202" id="docshape15" filled="true" fillcolor="#c0c0c0" stroked="false">
            <w10:anchorlock/>
            <v:textbox inset="0,0,0,0">
              <w:txbxContent>
                <w:p>
                  <w:pPr>
                    <w:pStyle w:val="BodyText"/>
                    <w:spacing w:before="22"/>
                    <w:ind w:left="0" w:right="-15"/>
                    <w:rPr>
                      <w:color w:val="000000"/>
                    </w:rPr>
                  </w:pPr>
                  <w:r>
                    <w:rPr>
                      <w:color w:val="000000"/>
                      <w:spacing w:val="-5"/>
                    </w:rPr>
                    <w:t>任，则本公司仅承担“中症疾病保险金”的给付责任。</w:t>
                  </w:r>
                </w:p>
              </w:txbxContent>
            </v:textbox>
            <v:fill type="solid"/>
          </v:shape>
        </w:pict>
      </w:r>
      <w:r>
        <w:rPr>
          <w:sz w:val="20"/>
        </w:rPr>
      </w:r>
    </w:p>
    <w:p>
      <w:pPr>
        <w:pStyle w:val="BodyText"/>
        <w:ind w:left="658"/>
        <w:rPr>
          <w:sz w:val="20"/>
        </w:rPr>
      </w:pPr>
      <w:r>
        <w:rPr>
          <w:sz w:val="20"/>
        </w:rPr>
        <w:pict>
          <v:shape style="width:394.65pt;height:14.8pt;mso-position-horizontal-relative:char;mso-position-vertical-relative:line" type="#_x0000_t202" id="docshape16" filled="true" fillcolor="#c0c0c0" stroked="false">
            <w10:anchorlock/>
            <v:textbox inset="0,0,0,0">
              <w:txbxContent>
                <w:p>
                  <w:pPr>
                    <w:pStyle w:val="BodyText"/>
                    <w:spacing w:before="23"/>
                    <w:ind w:left="-1" w:right="-15"/>
                    <w:rPr>
                      <w:color w:val="000000"/>
                    </w:rPr>
                  </w:pPr>
                  <w:r>
                    <w:rPr>
                      <w:color w:val="000000"/>
                      <w:spacing w:val="-9"/>
                    </w:rPr>
                    <w:t>如果本公司已给付过第一次重大疾病保险金，对于第一次重大疾病确诊日之后确诊的中</w:t>
                  </w:r>
                </w:p>
              </w:txbxContent>
            </v:textbox>
            <v:fill type="solid"/>
          </v:shape>
        </w:pict>
      </w:r>
      <w:r>
        <w:rPr>
          <w:sz w:val="20"/>
        </w:rPr>
      </w:r>
    </w:p>
    <w:p>
      <w:pPr>
        <w:pStyle w:val="BodyText"/>
        <w:rPr>
          <w:sz w:val="20"/>
        </w:rPr>
      </w:pPr>
      <w:r>
        <w:rPr>
          <w:sz w:val="20"/>
        </w:rPr>
        <w:pict>
          <v:shape style="width:241.7pt;height:14.8pt;mso-position-horizontal-relative:char;mso-position-vertical-relative:line" type="#_x0000_t202" id="docshape17" filled="true" fillcolor="#c0c0c0" stroked="false">
            <w10:anchorlock/>
            <v:textbox inset="0,0,0,0">
              <w:txbxContent>
                <w:p>
                  <w:pPr>
                    <w:pStyle w:val="BodyText"/>
                    <w:spacing w:before="22"/>
                    <w:ind w:left="0" w:right="-15"/>
                    <w:rPr>
                      <w:color w:val="000000"/>
                    </w:rPr>
                  </w:pPr>
                  <w:r>
                    <w:rPr>
                      <w:color w:val="000000"/>
                      <w:spacing w:val="-5"/>
                    </w:rPr>
                    <w:t>症疾病，本公司不再承担给付中症疾病保险金责任。</w:t>
                  </w:r>
                </w:p>
              </w:txbxContent>
            </v:textbox>
            <v:fill type="solid"/>
          </v:shape>
        </w:pict>
      </w:r>
      <w:r>
        <w:rPr>
          <w:sz w:val="20"/>
        </w:rPr>
      </w:r>
    </w:p>
    <w:p>
      <w:pPr>
        <w:pStyle w:val="ListParagraph"/>
        <w:numPr>
          <w:ilvl w:val="0"/>
          <w:numId w:val="2"/>
        </w:numPr>
        <w:tabs>
          <w:tab w:pos="871" w:val="left" w:leader="none"/>
        </w:tabs>
        <w:spacing w:line="240" w:lineRule="auto" w:before="28" w:after="0"/>
        <w:ind w:left="870" w:right="0" w:hanging="213"/>
        <w:jc w:val="left"/>
        <w:rPr>
          <w:sz w:val="21"/>
        </w:rPr>
      </w:pPr>
      <w:r>
        <w:rPr>
          <w:spacing w:val="-4"/>
          <w:sz w:val="21"/>
        </w:rPr>
        <w:t>轻症疾病保险金</w:t>
      </w:r>
    </w:p>
    <w:p>
      <w:pPr>
        <w:pStyle w:val="ListParagraph"/>
        <w:numPr>
          <w:ilvl w:val="0"/>
          <w:numId w:val="4"/>
        </w:numPr>
        <w:tabs>
          <w:tab w:pos="1187" w:val="left" w:leader="none"/>
        </w:tabs>
        <w:spacing w:line="240" w:lineRule="auto" w:before="43" w:after="0"/>
        <w:ind w:left="1187" w:right="0" w:hanging="529"/>
        <w:jc w:val="left"/>
        <w:rPr>
          <w:sz w:val="21"/>
        </w:rPr>
      </w:pPr>
      <w:r>
        <w:rPr>
          <w:spacing w:val="-3"/>
          <w:sz w:val="21"/>
        </w:rPr>
        <w:t>第一次轻症疾病保险金</w:t>
      </w:r>
    </w:p>
    <w:p>
      <w:pPr>
        <w:pStyle w:val="BodyText"/>
        <w:spacing w:line="278" w:lineRule="auto" w:before="43"/>
        <w:ind w:right="1548" w:firstLine="419"/>
        <w:jc w:val="both"/>
      </w:pPr>
      <w:r>
        <w:rPr>
          <w:spacing w:val="-3"/>
        </w:rPr>
        <w:t>被保险人因意外伤害或于等待期后因意外伤害以外的原因，且在年满 </w:t>
      </w:r>
      <w:r>
        <w:rPr>
          <w:spacing w:val="-2"/>
        </w:rPr>
        <w:t>60</w:t>
      </w:r>
      <w:r>
        <w:rPr>
          <w:spacing w:val="-6"/>
        </w:rPr>
        <w:t> 周岁的首个保</w:t>
      </w:r>
      <w:r>
        <w:rPr>
          <w:spacing w:val="-4"/>
        </w:rPr>
        <w:t>险单周年日（不含当日）之前，由本公司指定或认可的医院的专科医生确诊初次发生本合同</w:t>
      </w:r>
      <w:r>
        <w:rPr>
          <w:spacing w:val="-2"/>
        </w:rPr>
        <w:t>所列的轻症疾病（无论一种或多种</w:t>
      </w:r>
      <w:r>
        <w:rPr>
          <w:spacing w:val="-108"/>
        </w:rPr>
        <w:t>）</w:t>
      </w:r>
      <w:r>
        <w:rPr/>
        <w:t>，本公司按本合同约定的基本保险金额的 </w:t>
      </w:r>
      <w:r>
        <w:rPr>
          <w:spacing w:val="-2"/>
        </w:rPr>
        <w:t>45%</w:t>
      </w:r>
      <w:r>
        <w:rPr>
          <w:spacing w:val="-4"/>
        </w:rPr>
        <w:t>给付第一</w:t>
      </w:r>
    </w:p>
    <w:p>
      <w:pPr>
        <w:spacing w:after="0" w:line="278" w:lineRule="auto"/>
        <w:jc w:val="both"/>
        <w:sectPr>
          <w:pgSz w:w="11910" w:h="16840"/>
          <w:pgMar w:header="0" w:footer="1005" w:top="1400" w:bottom="1200" w:left="1560" w:right="240"/>
        </w:sectPr>
      </w:pPr>
    </w:p>
    <w:p>
      <w:pPr>
        <w:pStyle w:val="BodyText"/>
        <w:spacing w:before="44"/>
      </w:pPr>
      <w:r>
        <w:rPr>
          <w:spacing w:val="-3"/>
        </w:rPr>
        <w:t>次轻症疾病保险金，本合同第一次轻症疾病保险金责任终止。</w:t>
      </w:r>
    </w:p>
    <w:p>
      <w:pPr>
        <w:pStyle w:val="BodyText"/>
        <w:spacing w:line="278" w:lineRule="auto" w:before="43"/>
        <w:ind w:right="1548" w:firstLine="419"/>
        <w:jc w:val="both"/>
      </w:pPr>
      <w:r>
        <w:rPr>
          <w:spacing w:val="-3"/>
        </w:rPr>
        <w:t>被保险人因意外伤害或于等待期后因意外伤害以外的原因，且在年满 </w:t>
      </w:r>
      <w:r>
        <w:rPr>
          <w:spacing w:val="-2"/>
        </w:rPr>
        <w:t>60</w:t>
      </w:r>
      <w:r>
        <w:rPr>
          <w:spacing w:val="-6"/>
        </w:rPr>
        <w:t> 周岁的首个保</w:t>
      </w:r>
      <w:r>
        <w:rPr>
          <w:spacing w:val="-4"/>
        </w:rPr>
        <w:t>险单周年日（含当日）之后，由本公司指定或认可的医院的专科医生确诊初次发生本合同所</w:t>
      </w:r>
      <w:r>
        <w:rPr/>
        <w:t>列的轻症疾病（无论一种或多种</w:t>
      </w:r>
      <w:r>
        <w:rPr>
          <w:spacing w:val="-106"/>
        </w:rPr>
        <w:t>）</w:t>
      </w:r>
      <w:r>
        <w:rPr>
          <w:spacing w:val="-3"/>
        </w:rPr>
        <w:t>，本公司按本合同约定的基本保险金额的 </w:t>
      </w:r>
      <w:r>
        <w:rPr/>
        <w:t>30%给付第一次</w:t>
      </w:r>
      <w:r>
        <w:rPr>
          <w:spacing w:val="-2"/>
        </w:rPr>
        <w:t>轻症疾病保险金，本合同第一次轻症疾病保险金责任终止。</w:t>
      </w:r>
    </w:p>
    <w:p>
      <w:pPr>
        <w:pStyle w:val="ListParagraph"/>
        <w:numPr>
          <w:ilvl w:val="0"/>
          <w:numId w:val="4"/>
        </w:numPr>
        <w:tabs>
          <w:tab w:pos="1187" w:val="left" w:leader="none"/>
        </w:tabs>
        <w:spacing w:line="269" w:lineRule="exact" w:before="0" w:after="0"/>
        <w:ind w:left="1187" w:right="0" w:hanging="529"/>
        <w:jc w:val="left"/>
        <w:rPr>
          <w:sz w:val="21"/>
        </w:rPr>
      </w:pPr>
      <w:r>
        <w:rPr>
          <w:spacing w:val="-3"/>
          <w:sz w:val="21"/>
        </w:rPr>
        <w:t>第二次轻症疾病保险金</w:t>
      </w:r>
    </w:p>
    <w:p>
      <w:pPr>
        <w:pStyle w:val="BodyText"/>
        <w:spacing w:line="278" w:lineRule="auto" w:before="43"/>
        <w:ind w:right="1548" w:firstLine="419"/>
        <w:jc w:val="both"/>
      </w:pPr>
      <w:r>
        <w:rPr>
          <w:spacing w:val="-8"/>
        </w:rPr>
        <w:t>本公司给付第一次轻症疾病保险金后，若被保险人由本公司指定或认可的医院的专科医</w:t>
      </w:r>
      <w:r>
        <w:rPr>
          <w:spacing w:val="-2"/>
        </w:rPr>
        <w:t>生确诊初次发生本合同所列的除第一次轻症疾病以外的其他轻症疾病（无论一种或多种</w:t>
      </w:r>
      <w:r>
        <w:rPr>
          <w:spacing w:val="-108"/>
        </w:rPr>
        <w:t>）</w:t>
      </w:r>
      <w:r>
        <w:rPr/>
        <w:t>，</w:t>
      </w:r>
      <w:r>
        <w:rPr>
          <w:spacing w:val="-4"/>
        </w:rPr>
        <w:t>本公司按本合同约定的基本保险金额的 </w:t>
      </w:r>
      <w:r>
        <w:rPr>
          <w:spacing w:val="-2"/>
        </w:rPr>
        <w:t>30%给付第二次轻症疾病保险金，本合同第二次轻症</w:t>
      </w:r>
      <w:r>
        <w:rPr>
          <w:spacing w:val="-2"/>
        </w:rPr>
        <w:t>疾病保险金责任终止。</w:t>
      </w:r>
    </w:p>
    <w:p>
      <w:pPr>
        <w:pStyle w:val="ListParagraph"/>
        <w:numPr>
          <w:ilvl w:val="0"/>
          <w:numId w:val="4"/>
        </w:numPr>
        <w:tabs>
          <w:tab w:pos="1187" w:val="left" w:leader="none"/>
        </w:tabs>
        <w:spacing w:line="269" w:lineRule="exact" w:before="0" w:after="0"/>
        <w:ind w:left="1187" w:right="0" w:hanging="529"/>
        <w:jc w:val="left"/>
        <w:rPr>
          <w:sz w:val="21"/>
        </w:rPr>
      </w:pPr>
      <w:r>
        <w:rPr>
          <w:spacing w:val="-3"/>
          <w:sz w:val="21"/>
        </w:rPr>
        <w:t>第三次轻症疾病保险金</w:t>
      </w:r>
    </w:p>
    <w:p>
      <w:pPr>
        <w:pStyle w:val="BodyText"/>
        <w:spacing w:line="278" w:lineRule="auto" w:before="43"/>
        <w:ind w:right="1548" w:firstLine="419"/>
        <w:jc w:val="both"/>
      </w:pPr>
      <w:r>
        <w:rPr/>
        <w:pict>
          <v:shape style="position:absolute;margin-left:110.900002pt;margin-top:63.439972pt;width:394.65pt;height:14.8pt;mso-position-horizontal-relative:page;mso-position-vertical-relative:paragraph;z-index:15742464" type="#_x0000_t202" id="docshape18" filled="true" fillcolor="#c0c0c0" stroked="false">
            <v:textbox inset="0,0,0,0">
              <w:txbxContent>
                <w:p>
                  <w:pPr>
                    <w:pStyle w:val="BodyText"/>
                    <w:spacing w:before="23"/>
                    <w:ind w:left="0" w:right="-15"/>
                    <w:rPr>
                      <w:color w:val="000000"/>
                    </w:rPr>
                  </w:pPr>
                  <w:r>
                    <w:rPr>
                      <w:color w:val="000000"/>
                      <w:spacing w:val="-5"/>
                    </w:rPr>
                    <w:t>如果被保险人因同一疾病原因、同次医疗行为或同次意外伤害事故，导致初次发生本合</w:t>
                  </w:r>
                </w:p>
              </w:txbxContent>
            </v:textbox>
            <v:fill type="solid"/>
            <w10:wrap type="none"/>
          </v:shape>
        </w:pict>
      </w:r>
      <w:r>
        <w:rPr>
          <w:spacing w:val="-8"/>
        </w:rPr>
        <w:t>本公司给付第二次轻症疾病保险金后，若被保险人由本公司指定或认可的医院的专科医</w:t>
      </w:r>
      <w:r>
        <w:rPr>
          <w:spacing w:val="-2"/>
        </w:rPr>
        <w:t>生确诊初次发生本合同所列的除前两次轻症疾病以外的其他轻症疾病（无论一种或多种</w:t>
      </w:r>
      <w:r>
        <w:rPr>
          <w:spacing w:val="-108"/>
        </w:rPr>
        <w:t>）</w:t>
      </w:r>
      <w:r>
        <w:rPr/>
        <w:t>，</w:t>
      </w:r>
      <w:r>
        <w:rPr>
          <w:spacing w:val="-4"/>
        </w:rPr>
        <w:t>本公司按本合同约定的基本保险金额的 </w:t>
      </w:r>
      <w:r>
        <w:rPr>
          <w:spacing w:val="-2"/>
        </w:rPr>
        <w:t>30%给付第三次轻症疾病保险金，本合同第三次轻症</w:t>
      </w:r>
      <w:r>
        <w:rPr>
          <w:spacing w:val="-2"/>
        </w:rPr>
        <w:t>疾病保险金责任终止。</w:t>
      </w:r>
    </w:p>
    <w:p>
      <w:pPr>
        <w:pStyle w:val="BodyText"/>
        <w:spacing w:before="9"/>
        <w:ind w:left="0"/>
        <w:rPr>
          <w:sz w:val="20"/>
        </w:rPr>
      </w:pPr>
      <w:r>
        <w:rPr/>
        <w:pict>
          <v:shape style="position:absolute;margin-left:89.903999pt;margin-top:14.498199pt;width:399.35pt;height:14.8pt;mso-position-horizontal-relative:page;mso-position-vertical-relative:paragraph;z-index:-15719424;mso-wrap-distance-left:0;mso-wrap-distance-right:0" type="#_x0000_t202" id="docshape19" filled="true" fillcolor="#c0c0c0" stroked="false">
            <v:textbox inset="0,0,0,0">
              <w:txbxContent>
                <w:p>
                  <w:pPr>
                    <w:pStyle w:val="BodyText"/>
                    <w:spacing w:before="22"/>
                    <w:ind w:left="0" w:right="-15"/>
                    <w:rPr>
                      <w:color w:val="000000"/>
                    </w:rPr>
                  </w:pPr>
                  <w:r>
                    <w:rPr>
                      <w:color w:val="000000"/>
                      <w:spacing w:val="-3"/>
                    </w:rPr>
                    <w:t>同所列的两种或两种以上的轻症疾病，本公司仅按一种轻症疾病给付轻症疾病保险金。</w:t>
                  </w:r>
                </w:p>
              </w:txbxContent>
            </v:textbox>
            <v:fill type="solid"/>
            <w10:wrap type="topAndBottom"/>
          </v:shape>
        </w:pict>
      </w:r>
    </w:p>
    <w:p>
      <w:pPr>
        <w:pStyle w:val="BodyText"/>
        <w:ind w:left="658"/>
        <w:rPr>
          <w:sz w:val="20"/>
        </w:rPr>
      </w:pPr>
      <w:r>
        <w:rPr>
          <w:sz w:val="20"/>
        </w:rPr>
        <w:pict>
          <v:shape style="width:394.65pt;height:14.8pt;mso-position-horizontal-relative:char;mso-position-vertical-relative:line" type="#_x0000_t202" id="docshape20" filled="true" fillcolor="#c0c0c0" stroked="false">
            <w10:anchorlock/>
            <v:textbox inset="0,0,0,0">
              <w:txbxContent>
                <w:p>
                  <w:pPr>
                    <w:pStyle w:val="BodyText"/>
                    <w:spacing w:before="23"/>
                    <w:ind w:left="0" w:right="-15"/>
                    <w:rPr>
                      <w:color w:val="000000"/>
                    </w:rPr>
                  </w:pPr>
                  <w:r>
                    <w:rPr>
                      <w:color w:val="000000"/>
                      <w:spacing w:val="-9"/>
                    </w:rPr>
                    <w:t>如果本公司已给付第一次重大疾病保险金，对于第一次重大疾病确诊日之后确诊的轻症</w:t>
                  </w:r>
                </w:p>
              </w:txbxContent>
            </v:textbox>
            <v:fill type="solid"/>
          </v:shape>
        </w:pict>
      </w:r>
      <w:r>
        <w:rPr>
          <w:sz w:val="20"/>
        </w:rPr>
      </w:r>
    </w:p>
    <w:p>
      <w:pPr>
        <w:pStyle w:val="BodyText"/>
        <w:rPr>
          <w:sz w:val="20"/>
        </w:rPr>
      </w:pPr>
      <w:r>
        <w:rPr>
          <w:sz w:val="20"/>
        </w:rPr>
        <w:pict>
          <v:shape style="width:231.15pt;height:14.8pt;mso-position-horizontal-relative:char;mso-position-vertical-relative:line" type="#_x0000_t202" id="docshape21" filled="true" fillcolor="#c0c0c0" stroked="false">
            <w10:anchorlock/>
            <v:textbox inset="0,0,0,0">
              <w:txbxContent>
                <w:p>
                  <w:pPr>
                    <w:pStyle w:val="BodyText"/>
                    <w:spacing w:before="23"/>
                    <w:ind w:left="0" w:right="-15"/>
                    <w:rPr>
                      <w:color w:val="000000"/>
                    </w:rPr>
                  </w:pPr>
                  <w:r>
                    <w:rPr>
                      <w:color w:val="000000"/>
                      <w:spacing w:val="-5"/>
                    </w:rPr>
                    <w:t>疾病，本公司不再承担给付轻症疾病保险金责任。</w:t>
                  </w:r>
                </w:p>
              </w:txbxContent>
            </v:textbox>
            <v:fill type="solid"/>
          </v:shape>
        </w:pict>
      </w:r>
      <w:r>
        <w:rPr>
          <w:sz w:val="20"/>
        </w:rPr>
      </w:r>
    </w:p>
    <w:p>
      <w:pPr>
        <w:pStyle w:val="ListParagraph"/>
        <w:numPr>
          <w:ilvl w:val="0"/>
          <w:numId w:val="2"/>
        </w:numPr>
        <w:tabs>
          <w:tab w:pos="871" w:val="left" w:leader="none"/>
        </w:tabs>
        <w:spacing w:line="240" w:lineRule="auto" w:before="33" w:after="0"/>
        <w:ind w:left="870" w:right="0" w:hanging="213"/>
        <w:jc w:val="left"/>
        <w:rPr>
          <w:sz w:val="21"/>
        </w:rPr>
      </w:pPr>
      <w:r>
        <w:rPr>
          <w:spacing w:val="-4"/>
          <w:sz w:val="21"/>
        </w:rPr>
        <w:t>特定疾病保险金</w:t>
      </w:r>
    </w:p>
    <w:p>
      <w:pPr>
        <w:pStyle w:val="BodyText"/>
        <w:spacing w:line="278" w:lineRule="auto" w:before="43"/>
        <w:ind w:right="1548" w:firstLine="419"/>
        <w:jc w:val="both"/>
      </w:pPr>
      <w:r>
        <w:rPr/>
        <w:pict>
          <v:shape style="position:absolute;margin-left:110.900002pt;margin-top:63.410011pt;width:394.65pt;height:14.8pt;mso-position-horizontal-relative:page;mso-position-vertical-relative:paragraph;z-index:15741952" type="#_x0000_t202" id="docshape22" filled="true" fillcolor="#c0c0c0" stroked="false">
            <v:textbox inset="0,0,0,0">
              <w:txbxContent>
                <w:p>
                  <w:pPr>
                    <w:pStyle w:val="BodyText"/>
                    <w:spacing w:before="23"/>
                    <w:ind w:left="0" w:right="-15"/>
                    <w:rPr>
                      <w:color w:val="000000"/>
                    </w:rPr>
                  </w:pPr>
                  <w:r>
                    <w:rPr>
                      <w:color w:val="000000"/>
                      <w:spacing w:val="-6"/>
                    </w:rPr>
                    <w:t>自被保险人年满 </w:t>
                  </w:r>
                  <w:r>
                    <w:rPr>
                      <w:color w:val="000000"/>
                      <w:spacing w:val="-2"/>
                    </w:rPr>
                    <w:t>30</w:t>
                  </w:r>
                  <w:r>
                    <w:rPr>
                      <w:color w:val="000000"/>
                      <w:spacing w:val="-8"/>
                    </w:rPr>
                    <w:t> 周岁的首个保险单周年日</w:t>
                  </w:r>
                  <w:r>
                    <w:rPr>
                      <w:color w:val="000000"/>
                      <w:spacing w:val="-2"/>
                    </w:rPr>
                    <w:t>（含当日）</w:t>
                  </w:r>
                  <w:r>
                    <w:rPr>
                      <w:color w:val="000000"/>
                      <w:spacing w:val="-3"/>
                    </w:rPr>
                    <w:t>起，本公司不再承担给付特定</w:t>
                  </w:r>
                </w:p>
              </w:txbxContent>
            </v:textbox>
            <v:fill type="solid"/>
            <w10:wrap type="none"/>
          </v:shape>
        </w:pict>
      </w:r>
      <w:r>
        <w:rPr>
          <w:spacing w:val="-3"/>
        </w:rPr>
        <w:t>被保险人因意外伤害或于等待期后因意外伤害以外的原因，且在年满 </w:t>
      </w:r>
      <w:r>
        <w:rPr>
          <w:spacing w:val="-2"/>
        </w:rPr>
        <w:t>30</w:t>
      </w:r>
      <w:r>
        <w:rPr>
          <w:spacing w:val="-6"/>
        </w:rPr>
        <w:t> 周岁的首个保</w:t>
      </w:r>
      <w:r>
        <w:rPr>
          <w:spacing w:val="-4"/>
        </w:rPr>
        <w:t>险单周年日（不含当日）之前，由本公司指定或认可的医院的专科医生确诊初次发生本合同</w:t>
      </w:r>
      <w:r>
        <w:rPr>
          <w:spacing w:val="-2"/>
        </w:rPr>
        <w:t>所列的特定疾病（无论一种或多种</w:t>
      </w:r>
      <w:r>
        <w:rPr>
          <w:spacing w:val="-108"/>
        </w:rPr>
        <w:t>）</w:t>
      </w:r>
      <w:r>
        <w:rPr>
          <w:spacing w:val="-2"/>
        </w:rPr>
        <w:t>，本公司除按照约定给付重大疾病保险金外，还将按本</w:t>
      </w:r>
      <w:r>
        <w:rPr>
          <w:spacing w:val="-4"/>
        </w:rPr>
        <w:t>合同约定的基本保险金额的 </w:t>
      </w:r>
      <w:r>
        <w:rPr/>
        <w:t>100%给付特定疾病保险金，本合同特定疾病保险金责任终止。</w:t>
      </w:r>
    </w:p>
    <w:p>
      <w:pPr>
        <w:pStyle w:val="BodyText"/>
        <w:spacing w:before="8"/>
        <w:ind w:left="0"/>
        <w:rPr>
          <w:sz w:val="20"/>
        </w:rPr>
      </w:pPr>
      <w:r>
        <w:rPr/>
        <w:pict>
          <v:shape style="position:absolute;margin-left:89.903999pt;margin-top:14.460375pt;width:115.6pt;height:14.8pt;mso-position-horizontal-relative:page;mso-position-vertical-relative:paragraph;z-index:-15717888;mso-wrap-distance-left:0;mso-wrap-distance-right:0" type="#_x0000_t202" id="docshape23" filled="true" fillcolor="#c0c0c0" stroked="false">
            <v:textbox inset="0,0,0,0">
              <w:txbxContent>
                <w:p>
                  <w:pPr>
                    <w:pStyle w:val="BodyText"/>
                    <w:spacing w:before="23"/>
                    <w:ind w:left="0" w:right="-15"/>
                    <w:rPr>
                      <w:color w:val="000000"/>
                    </w:rPr>
                  </w:pPr>
                  <w:r>
                    <w:rPr>
                      <w:color w:val="000000"/>
                      <w:spacing w:val="-3"/>
                    </w:rPr>
                    <w:t>疾病保险金的保险责任。</w:t>
                  </w:r>
                </w:p>
              </w:txbxContent>
            </v:textbox>
            <v:fill type="solid"/>
            <w10:wrap type="topAndBottom"/>
          </v:shape>
        </w:pict>
      </w:r>
    </w:p>
    <w:p>
      <w:pPr>
        <w:pStyle w:val="ListParagraph"/>
        <w:numPr>
          <w:ilvl w:val="0"/>
          <w:numId w:val="2"/>
        </w:numPr>
        <w:tabs>
          <w:tab w:pos="871" w:val="left" w:leader="none"/>
        </w:tabs>
        <w:spacing w:line="240" w:lineRule="auto" w:before="39" w:after="0"/>
        <w:ind w:left="870" w:right="0" w:hanging="213"/>
        <w:jc w:val="left"/>
        <w:rPr>
          <w:sz w:val="21"/>
        </w:rPr>
      </w:pPr>
      <w:r>
        <w:rPr>
          <w:spacing w:val="-4"/>
          <w:sz w:val="21"/>
        </w:rPr>
        <w:t>豁免保险费</w:t>
      </w:r>
    </w:p>
    <w:p>
      <w:pPr>
        <w:pStyle w:val="BodyText"/>
        <w:spacing w:line="278" w:lineRule="auto" w:before="43"/>
        <w:ind w:right="1548" w:firstLine="419"/>
        <w:jc w:val="both"/>
      </w:pPr>
      <w:r>
        <w:rPr/>
        <w:pict>
          <v:shape style="position:absolute;margin-left:110.900002pt;margin-top:79.010010pt;width:168.15pt;height:14.8pt;mso-position-horizontal-relative:page;mso-position-vertical-relative:paragraph;z-index:15741440" type="#_x0000_t202" id="docshape24" filled="true" fillcolor="#c0c0c0" stroked="false">
            <v:textbox inset="0,0,0,0">
              <w:txbxContent>
                <w:p>
                  <w:pPr>
                    <w:pStyle w:val="BodyText"/>
                    <w:spacing w:before="22"/>
                    <w:ind w:left="0" w:right="-15"/>
                    <w:rPr>
                      <w:color w:val="000000"/>
                    </w:rPr>
                  </w:pPr>
                  <w:r>
                    <w:rPr>
                      <w:color w:val="000000"/>
                      <w:spacing w:val="-3"/>
                    </w:rPr>
                    <w:t>上述豁免的保险费不包括以下款项：</w:t>
                  </w:r>
                </w:p>
              </w:txbxContent>
            </v:textbox>
            <v:fill type="solid"/>
            <w10:wrap type="none"/>
          </v:shape>
        </w:pict>
      </w:r>
      <w:r>
        <w:rPr>
          <w:spacing w:val="-6"/>
        </w:rPr>
        <w:t>被保险人因意外伤害或于等待期后因意外伤害以外的原因，由本公司指定或认可的医院</w:t>
      </w:r>
      <w:r>
        <w:rPr>
          <w:spacing w:val="-2"/>
        </w:rPr>
        <w:t>的专科医生确诊初次发生本合同所列的重大疾病（无论一种或多种</w:t>
      </w:r>
      <w:r>
        <w:rPr>
          <w:spacing w:val="-108"/>
        </w:rPr>
        <w:t>）</w:t>
      </w:r>
      <w:r>
        <w:rPr>
          <w:spacing w:val="-2"/>
        </w:rPr>
        <w:t>、中症疾病（无论一种</w:t>
      </w:r>
      <w:r>
        <w:rPr>
          <w:spacing w:val="-2"/>
        </w:rPr>
        <w:t>或多种）或轻症疾病（无论一种或多种</w:t>
      </w:r>
      <w:r>
        <w:rPr>
          <w:spacing w:val="-106"/>
        </w:rPr>
        <w:t>）</w:t>
      </w:r>
      <w:r>
        <w:rPr>
          <w:spacing w:val="-3"/>
        </w:rPr>
        <w:t>，本公司将豁免本合同自被保险人确诊初次发生本</w:t>
      </w:r>
      <w:r>
        <w:rPr>
          <w:spacing w:val="-4"/>
        </w:rPr>
        <w:t>合同所列的重大疾病、中症疾病或轻症疾病之日以后的剩余各期保险费。被豁免的保险费视</w:t>
      </w:r>
      <w:r>
        <w:rPr>
          <w:spacing w:val="-2"/>
        </w:rPr>
        <w:t>为已交纳，同时本合同继续有效。</w:t>
      </w:r>
    </w:p>
    <w:p>
      <w:pPr>
        <w:pStyle w:val="BodyText"/>
        <w:spacing w:before="8"/>
        <w:ind w:left="0"/>
        <w:rPr>
          <w:sz w:val="20"/>
        </w:rPr>
      </w:pPr>
      <w:r>
        <w:rPr/>
        <w:pict>
          <v:shape style="position:absolute;margin-left:110.900002pt;margin-top:14.45875pt;width:393.95pt;height:14.8pt;mso-position-horizontal-relative:page;mso-position-vertical-relative:paragraph;z-index:-15717376;mso-wrap-distance-left:0;mso-wrap-distance-right:0" type="#_x0000_t202" id="docshape25" filled="true" fillcolor="#c0c0c0" stroked="false">
            <v:textbox inset="0,0,0,0">
              <w:txbxContent>
                <w:p>
                  <w:pPr>
                    <w:pStyle w:val="BodyText"/>
                    <w:spacing w:before="22"/>
                    <w:ind w:left="0" w:right="-15"/>
                    <w:rPr>
                      <w:color w:val="000000"/>
                    </w:rPr>
                  </w:pPr>
                  <w:r>
                    <w:rPr>
                      <w:color w:val="000000"/>
                      <w:spacing w:val="-2"/>
                    </w:rPr>
                    <w:t>（1）</w:t>
                  </w:r>
                  <w:r>
                    <w:rPr>
                      <w:color w:val="000000"/>
                      <w:spacing w:val="-3"/>
                    </w:rPr>
                    <w:t>被保险人确诊重大疾病、中症疾病或轻症疾病之日之前所欠交的保险费和利息；</w:t>
                  </w:r>
                </w:p>
              </w:txbxContent>
            </v:textbox>
            <v:fill type="solid"/>
            <w10:wrap type="topAndBottom"/>
          </v:shape>
        </w:pict>
      </w:r>
    </w:p>
    <w:p>
      <w:pPr>
        <w:pStyle w:val="BodyText"/>
        <w:ind w:left="658"/>
        <w:rPr>
          <w:sz w:val="20"/>
        </w:rPr>
      </w:pPr>
      <w:r>
        <w:rPr>
          <w:sz w:val="20"/>
        </w:rPr>
        <w:pict>
          <v:shape style="width:162.75pt;height:14.8pt;mso-position-horizontal-relative:char;mso-position-vertical-relative:line" type="#_x0000_t202" id="docshape26" filled="true" fillcolor="#c0c0c0" stroked="false">
            <w10:anchorlock/>
            <v:textbox inset="0,0,0,0">
              <w:txbxContent>
                <w:p>
                  <w:pPr>
                    <w:pStyle w:val="BodyText"/>
                    <w:spacing w:before="23"/>
                    <w:ind w:left="0" w:right="-15"/>
                    <w:rPr>
                      <w:color w:val="000000"/>
                    </w:rPr>
                  </w:pPr>
                  <w:r>
                    <w:rPr>
                      <w:color w:val="000000"/>
                      <w:spacing w:val="-4"/>
                    </w:rPr>
                    <w:t>（2）</w:t>
                  </w:r>
                  <w:r>
                    <w:rPr>
                      <w:color w:val="000000"/>
                      <w:spacing w:val="-5"/>
                    </w:rPr>
                    <w:t>宽限期内应交未交的保险费；</w:t>
                  </w:r>
                </w:p>
              </w:txbxContent>
            </v:textbox>
            <v:fill type="solid"/>
          </v:shape>
        </w:pict>
      </w:r>
      <w:r>
        <w:rPr>
          <w:sz w:val="20"/>
        </w:rPr>
      </w:r>
    </w:p>
    <w:p>
      <w:pPr>
        <w:pStyle w:val="BodyText"/>
        <w:ind w:left="658"/>
        <w:rPr>
          <w:sz w:val="20"/>
        </w:rPr>
      </w:pPr>
      <w:r>
        <w:rPr>
          <w:sz w:val="20"/>
        </w:rPr>
        <w:pict>
          <v:shape style="width:252.05pt;height:14.8pt;mso-position-horizontal-relative:char;mso-position-vertical-relative:line" type="#_x0000_t202" id="docshape27" filled="true" fillcolor="#c0c0c0" stroked="false">
            <w10:anchorlock/>
            <v:textbox inset="0,0,0,0">
              <w:txbxContent>
                <w:p>
                  <w:pPr>
                    <w:pStyle w:val="BodyText"/>
                    <w:spacing w:before="22"/>
                    <w:ind w:left="0"/>
                    <w:rPr>
                      <w:color w:val="000000"/>
                    </w:rPr>
                  </w:pPr>
                  <w:r>
                    <w:rPr>
                      <w:color w:val="000000"/>
                      <w:spacing w:val="-2"/>
                    </w:rPr>
                    <w:t>（3）保险单上载明的其他保险合同的保险费（如有</w:t>
                  </w:r>
                  <w:r>
                    <w:rPr>
                      <w:color w:val="000000"/>
                      <w:spacing w:val="-108"/>
                    </w:rPr>
                    <w:t>）</w:t>
                  </w:r>
                  <w:r>
                    <w:rPr>
                      <w:color w:val="000000"/>
                      <w:spacing w:val="-10"/>
                    </w:rPr>
                    <w:t>。</w:t>
                  </w:r>
                </w:p>
              </w:txbxContent>
            </v:textbox>
            <v:fill type="solid"/>
          </v:shape>
        </w:pict>
      </w:r>
      <w:r>
        <w:rPr>
          <w:sz w:val="20"/>
        </w:rPr>
      </w:r>
    </w:p>
    <w:p>
      <w:pPr>
        <w:pStyle w:val="BodyText"/>
        <w:spacing w:before="33"/>
        <w:ind w:left="658"/>
      </w:pPr>
      <w:r>
        <w:rPr>
          <w:spacing w:val="-2"/>
        </w:rPr>
        <w:t>（二）</w:t>
      </w:r>
      <w:r>
        <w:rPr>
          <w:spacing w:val="-5"/>
        </w:rPr>
        <w:t>可选责任</w:t>
      </w:r>
    </w:p>
    <w:p>
      <w:pPr>
        <w:pStyle w:val="ListParagraph"/>
        <w:numPr>
          <w:ilvl w:val="0"/>
          <w:numId w:val="5"/>
        </w:numPr>
        <w:tabs>
          <w:tab w:pos="871" w:val="left" w:leader="none"/>
        </w:tabs>
        <w:spacing w:line="240" w:lineRule="auto" w:before="44" w:after="0"/>
        <w:ind w:left="870" w:right="0" w:hanging="213"/>
        <w:jc w:val="left"/>
        <w:rPr>
          <w:sz w:val="21"/>
        </w:rPr>
      </w:pPr>
      <w:r>
        <w:rPr>
          <w:spacing w:val="-4"/>
          <w:sz w:val="21"/>
        </w:rPr>
        <w:t>身故或全残保险金</w:t>
      </w:r>
    </w:p>
    <w:p>
      <w:pPr>
        <w:pStyle w:val="BodyText"/>
        <w:spacing w:line="278" w:lineRule="auto" w:before="43"/>
        <w:ind w:right="1549" w:firstLine="419"/>
      </w:pPr>
      <w:r>
        <w:rPr>
          <w:spacing w:val="-2"/>
        </w:rPr>
        <w:t>被保险人因意外伤害或于等待期后因意外伤害以外的原因导致身故或</w:t>
      </w:r>
      <w:r>
        <w:rPr>
          <w:b/>
          <w:spacing w:val="-2"/>
        </w:rPr>
        <w:t>全残</w:t>
      </w:r>
      <w:r>
        <w:rPr>
          <w:spacing w:val="-18"/>
        </w:rPr>
        <w:t>，本公司按以</w:t>
      </w:r>
      <w:r>
        <w:rPr>
          <w:spacing w:val="-2"/>
        </w:rPr>
        <w:t>下方式给付身故或全残保险金，本合同终止：</w:t>
      </w:r>
    </w:p>
    <w:p>
      <w:pPr>
        <w:pStyle w:val="ListParagraph"/>
        <w:numPr>
          <w:ilvl w:val="0"/>
          <w:numId w:val="6"/>
        </w:numPr>
        <w:tabs>
          <w:tab w:pos="1187" w:val="left" w:leader="none"/>
        </w:tabs>
        <w:spacing w:line="278" w:lineRule="auto" w:before="0" w:after="0"/>
        <w:ind w:left="238" w:right="1551" w:firstLine="419"/>
        <w:jc w:val="left"/>
        <w:rPr>
          <w:sz w:val="21"/>
        </w:rPr>
      </w:pPr>
      <w:r>
        <w:rPr>
          <w:spacing w:val="-3"/>
          <w:sz w:val="21"/>
        </w:rPr>
        <w:t>若被保险人在年满 </w:t>
      </w:r>
      <w:r>
        <w:rPr>
          <w:sz w:val="21"/>
        </w:rPr>
        <w:t>18</w:t>
      </w:r>
      <w:r>
        <w:rPr>
          <w:spacing w:val="-5"/>
          <w:sz w:val="21"/>
        </w:rPr>
        <w:t> 周岁的首个保险单周年日</w:t>
      </w:r>
      <w:r>
        <w:rPr>
          <w:sz w:val="21"/>
        </w:rPr>
        <w:t>（不含当日）之前身故或全残，</w:t>
      </w:r>
      <w:r>
        <w:rPr>
          <w:spacing w:val="-2"/>
          <w:sz w:val="21"/>
        </w:rPr>
        <w:t>本公司按以下两项中的较大者给付身故或全残保险金：</w:t>
      </w:r>
    </w:p>
    <w:p>
      <w:pPr>
        <w:pStyle w:val="BodyText"/>
        <w:spacing w:line="269" w:lineRule="exact"/>
        <w:ind w:left="658"/>
      </w:pPr>
      <w:r>
        <w:rPr>
          <w:spacing w:val="-3"/>
        </w:rPr>
        <w:t>①被保险人身故或全残之日的累计已交保险费；</w:t>
      </w:r>
    </w:p>
    <w:p>
      <w:pPr>
        <w:pStyle w:val="BodyText"/>
        <w:spacing w:before="42"/>
        <w:ind w:left="658"/>
      </w:pPr>
      <w:r>
        <w:rPr>
          <w:spacing w:val="-3"/>
        </w:rPr>
        <w:t>②被保险人身故或全残之日的现金价值。</w:t>
      </w:r>
    </w:p>
    <w:p>
      <w:pPr>
        <w:spacing w:after="0"/>
        <w:sectPr>
          <w:pgSz w:w="11910" w:h="16840"/>
          <w:pgMar w:header="0" w:footer="1005" w:top="1400" w:bottom="1200" w:left="1560" w:right="240"/>
        </w:sectPr>
      </w:pPr>
    </w:p>
    <w:p>
      <w:pPr>
        <w:pStyle w:val="ListParagraph"/>
        <w:numPr>
          <w:ilvl w:val="0"/>
          <w:numId w:val="6"/>
        </w:numPr>
        <w:tabs>
          <w:tab w:pos="1187" w:val="left" w:leader="none"/>
        </w:tabs>
        <w:spacing w:line="278" w:lineRule="auto" w:before="44" w:after="0"/>
        <w:ind w:left="238" w:right="1551" w:firstLine="419"/>
        <w:jc w:val="left"/>
        <w:rPr>
          <w:sz w:val="21"/>
        </w:rPr>
      </w:pPr>
      <w:r>
        <w:rPr>
          <w:spacing w:val="-3"/>
          <w:sz w:val="21"/>
        </w:rPr>
        <w:t>若被保险人在年满 </w:t>
      </w:r>
      <w:r>
        <w:rPr>
          <w:sz w:val="21"/>
        </w:rPr>
        <w:t>18</w:t>
      </w:r>
      <w:r>
        <w:rPr>
          <w:spacing w:val="-5"/>
          <w:sz w:val="21"/>
        </w:rPr>
        <w:t> 周岁的首个保险单周年日</w:t>
      </w:r>
      <w:r>
        <w:rPr>
          <w:sz w:val="21"/>
        </w:rPr>
        <w:t>（含当日）之后身故或全残，本</w:t>
      </w:r>
      <w:r>
        <w:rPr>
          <w:spacing w:val="-2"/>
          <w:sz w:val="21"/>
        </w:rPr>
        <w:t>公司按以下三项中的较大者给付身故或全残保险金：</w:t>
      </w:r>
    </w:p>
    <w:p>
      <w:pPr>
        <w:pStyle w:val="BodyText"/>
        <w:ind w:left="658"/>
      </w:pPr>
      <w:r>
        <w:rPr>
          <w:spacing w:val="-6"/>
        </w:rPr>
        <w:t>①本合同基本保险金额的 </w:t>
      </w:r>
      <w:r>
        <w:rPr>
          <w:spacing w:val="-2"/>
        </w:rPr>
        <w:t>100%；</w:t>
      </w:r>
    </w:p>
    <w:p>
      <w:pPr>
        <w:pStyle w:val="BodyText"/>
        <w:spacing w:before="43"/>
        <w:ind w:left="658"/>
      </w:pPr>
      <w:r>
        <w:rPr>
          <w:spacing w:val="-3"/>
        </w:rPr>
        <w:t>②被保险人身故或全残之日的累计已交保险费；</w:t>
      </w:r>
    </w:p>
    <w:p>
      <w:pPr>
        <w:pStyle w:val="BodyText"/>
        <w:spacing w:before="43"/>
        <w:ind w:left="658"/>
      </w:pPr>
      <w:r>
        <w:rPr/>
        <w:pict>
          <v:shape style="position:absolute;margin-left:89.903999pt;margin-top:31.369986pt;width:21pt;height:15.6pt;mso-position-horizontal-relative:page;mso-position-vertical-relative:paragraph;z-index:-17156096" type="#_x0000_t202" id="docshape28" filled="true" fillcolor="#c0c0c0" stroked="false">
            <v:textbox inset="0,0,0,0">
              <w:txbxContent>
                <w:p>
                  <w:pPr>
                    <w:pStyle w:val="BodyText"/>
                    <w:spacing w:before="39"/>
                    <w:ind w:left="0" w:right="-15"/>
                    <w:rPr>
                      <w:color w:val="000000"/>
                    </w:rPr>
                  </w:pPr>
                  <w:r>
                    <w:rPr>
                      <w:color w:val="000000"/>
                      <w:spacing w:val="-5"/>
                    </w:rPr>
                    <w:t>任。</w:t>
                  </w:r>
                </w:p>
              </w:txbxContent>
            </v:textbox>
            <v:fill type="solid"/>
            <w10:wrap type="none"/>
          </v:shape>
        </w:pict>
      </w:r>
      <w:r>
        <w:rPr/>
        <w:pict>
          <v:shape style="position:absolute;margin-left:110.903999pt;margin-top:16.609985pt;width:394.65pt;height:14.8pt;mso-position-horizontal-relative:page;mso-position-vertical-relative:paragraph;z-index:-15713792;mso-wrap-distance-left:0;mso-wrap-distance-right:0" type="#_x0000_t202" id="docshape29" filled="true" fillcolor="#c0c0c0" stroked="false">
            <v:textbox inset="0,0,0,0">
              <w:txbxContent>
                <w:p>
                  <w:pPr>
                    <w:pStyle w:val="BodyText"/>
                    <w:spacing w:before="22"/>
                    <w:ind w:left="-1" w:right="-15"/>
                    <w:rPr>
                      <w:color w:val="000000"/>
                    </w:rPr>
                  </w:pPr>
                  <w:r>
                    <w:rPr>
                      <w:color w:val="000000"/>
                      <w:spacing w:val="-8"/>
                    </w:rPr>
                    <w:t>如果本公司已给付过第一次重大疾病保险金，本公司不再承担给付身故或全残保险金责</w:t>
                  </w:r>
                </w:p>
              </w:txbxContent>
            </v:textbox>
            <v:fill type="solid"/>
            <w10:wrap type="topAndBottom"/>
          </v:shape>
        </w:pict>
      </w:r>
      <w:r>
        <w:rPr>
          <w:spacing w:val="-3"/>
        </w:rPr>
        <w:t>③被保险人身故或全残之日的现金价值。</w:t>
      </w:r>
    </w:p>
    <w:p>
      <w:pPr>
        <w:pStyle w:val="ListParagraph"/>
        <w:numPr>
          <w:ilvl w:val="0"/>
          <w:numId w:val="5"/>
        </w:numPr>
        <w:tabs>
          <w:tab w:pos="871" w:val="left" w:leader="none"/>
        </w:tabs>
        <w:spacing w:line="240" w:lineRule="auto" w:before="39" w:after="0"/>
        <w:ind w:left="870" w:right="0" w:hanging="213"/>
        <w:jc w:val="left"/>
        <w:rPr>
          <w:sz w:val="21"/>
        </w:rPr>
      </w:pPr>
      <w:r>
        <w:rPr>
          <w:spacing w:val="-3"/>
          <w:sz w:val="21"/>
        </w:rPr>
        <w:t>“恶性肿瘤——重度”医疗津贴保险金</w:t>
      </w:r>
    </w:p>
    <w:p>
      <w:pPr>
        <w:pStyle w:val="BodyText"/>
        <w:spacing w:line="278" w:lineRule="auto" w:before="43"/>
        <w:ind w:right="1548" w:firstLine="419"/>
        <w:jc w:val="both"/>
      </w:pPr>
      <w:r>
        <w:rPr>
          <w:spacing w:val="-6"/>
        </w:rPr>
        <w:t>被保险人因意外伤害或于等待期后因意外伤害以外的原因，由本公司指定或认可的医院</w:t>
      </w:r>
      <w:r>
        <w:rPr>
          <w:spacing w:val="-2"/>
        </w:rPr>
        <w:t>的专科医生确诊的重大疾病为本合同所列的“</w:t>
      </w:r>
      <w:r>
        <w:rPr>
          <w:b/>
          <w:spacing w:val="-2"/>
        </w:rPr>
        <w:t>恶性肿瘤——重度</w:t>
      </w:r>
      <w:r>
        <w:rPr>
          <w:spacing w:val="-140"/>
        </w:rPr>
        <w:t>”</w:t>
      </w:r>
      <w:r>
        <w:rPr/>
        <w:t>（</w:t>
      </w:r>
      <w:r>
        <w:rPr>
          <w:spacing w:val="-2"/>
        </w:rPr>
        <w:t>无论一种或多种</w:t>
      </w:r>
      <w:r>
        <w:rPr>
          <w:spacing w:val="-70"/>
        </w:rPr>
        <w:t>）</w:t>
      </w:r>
      <w:r>
        <w:rPr>
          <w:spacing w:val="-25"/>
        </w:rPr>
        <w:t>，且本</w:t>
      </w:r>
      <w:r>
        <w:rPr>
          <w:spacing w:val="-4"/>
        </w:rPr>
        <w:t>公司根据本合同重大疾病保险金责任约定已经给付重大疾病保险金，自首次“恶性肿瘤——</w:t>
      </w:r>
      <w:r>
        <w:rPr>
          <w:spacing w:val="-7"/>
        </w:rPr>
        <w:t>重度”确诊之日起 </w:t>
      </w:r>
      <w:r>
        <w:rPr>
          <w:spacing w:val="-4"/>
        </w:rPr>
        <w:t>365</w:t>
      </w:r>
      <w:r>
        <w:rPr>
          <w:spacing w:val="-8"/>
        </w:rPr>
        <w:t> 日以后，被保险人因“恶性肿瘤——重度”在本公司指定或认可的医</w:t>
      </w:r>
      <w:r>
        <w:rPr>
          <w:spacing w:val="-4"/>
        </w:rPr>
        <w:t>院接受本合同约定的</w:t>
      </w:r>
      <w:r>
        <w:rPr>
          <w:b/>
          <w:spacing w:val="-4"/>
        </w:rPr>
        <w:t>治疗行为</w:t>
      </w:r>
      <w:r>
        <w:rPr>
          <w:spacing w:val="-4"/>
        </w:rPr>
        <w:t>的，本公司对实际实施的治疗，按本合同约定的基本保险金额</w:t>
      </w:r>
      <w:r>
        <w:rPr>
          <w:spacing w:val="-21"/>
        </w:rPr>
        <w:t>的 </w:t>
      </w:r>
      <w:r>
        <w:rPr/>
        <w:t>40%给付一次“恶性肿瘤——重度”医疗津贴保险金。</w:t>
      </w:r>
    </w:p>
    <w:tbl>
      <w:tblPr>
        <w:tblW w:w="0" w:type="auto"/>
        <w:jc w:val="left"/>
        <w:tblInd w:w="2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20"/>
        <w:gridCol w:w="840"/>
        <w:gridCol w:w="7053"/>
      </w:tblGrid>
      <w:tr>
        <w:trPr>
          <w:trHeight w:val="293" w:hRule="atLeast"/>
        </w:trPr>
        <w:tc>
          <w:tcPr>
            <w:tcW w:w="420" w:type="dxa"/>
            <w:tcBorders>
              <w:bottom w:val="single" w:sz="8" w:space="0" w:color="FFFFFF"/>
            </w:tcBorders>
          </w:tcPr>
          <w:p>
            <w:pPr>
              <w:pStyle w:val="TableParagraph"/>
              <w:spacing w:before="0"/>
              <w:ind w:left="0"/>
              <w:rPr>
                <w:rFonts w:ascii="Times New Roman"/>
                <w:sz w:val="20"/>
              </w:rPr>
            </w:pPr>
          </w:p>
        </w:tc>
        <w:tc>
          <w:tcPr>
            <w:tcW w:w="7893" w:type="dxa"/>
            <w:gridSpan w:val="2"/>
            <w:tcBorders>
              <w:bottom w:val="single" w:sz="8" w:space="0" w:color="FFFFFF"/>
            </w:tcBorders>
            <w:shd w:val="clear" w:color="auto" w:fill="C0C0C0"/>
          </w:tcPr>
          <w:p>
            <w:pPr>
              <w:pStyle w:val="TableParagraph"/>
              <w:spacing w:before="0"/>
              <w:ind w:left="-1" w:right="-101"/>
              <w:rPr>
                <w:sz w:val="21"/>
              </w:rPr>
            </w:pPr>
            <w:r>
              <w:rPr>
                <w:spacing w:val="-3"/>
                <w:sz w:val="21"/>
              </w:rPr>
              <w:t>每一保险单年度内，本合同的“恶性肿瘤——重度”医疗津贴保险金给付以一次为限，</w:t>
            </w:r>
          </w:p>
        </w:tc>
      </w:tr>
      <w:tr>
        <w:trPr>
          <w:trHeight w:val="291" w:hRule="atLeast"/>
        </w:trPr>
        <w:tc>
          <w:tcPr>
            <w:tcW w:w="8313" w:type="dxa"/>
            <w:gridSpan w:val="3"/>
            <w:tcBorders>
              <w:top w:val="single" w:sz="8" w:space="0" w:color="FFFFFF"/>
              <w:bottom w:val="single" w:sz="8" w:space="0" w:color="FFFFFF"/>
            </w:tcBorders>
            <w:shd w:val="clear" w:color="auto" w:fill="C0C0C0"/>
          </w:tcPr>
          <w:p>
            <w:pPr>
              <w:pStyle w:val="TableParagraph"/>
              <w:spacing w:line="268" w:lineRule="exact" w:before="0"/>
              <w:ind w:left="0" w:right="-101"/>
              <w:rPr>
                <w:sz w:val="21"/>
              </w:rPr>
            </w:pPr>
            <w:r>
              <w:rPr>
                <w:spacing w:val="-4"/>
                <w:sz w:val="21"/>
              </w:rPr>
              <w:t>并与上一次给付的“恶性肿瘤——重度”医疗津贴保险金相隔不少于 </w:t>
            </w:r>
            <w:r>
              <w:rPr>
                <w:spacing w:val="-2"/>
                <w:sz w:val="21"/>
              </w:rPr>
              <w:t>365</w:t>
            </w:r>
            <w:r>
              <w:rPr>
                <w:spacing w:val="-9"/>
                <w:sz w:val="21"/>
              </w:rPr>
              <w:t> 日；保险期间内，</w:t>
            </w:r>
          </w:p>
        </w:tc>
      </w:tr>
      <w:tr>
        <w:trPr>
          <w:trHeight w:val="292" w:hRule="atLeast"/>
        </w:trPr>
        <w:tc>
          <w:tcPr>
            <w:tcW w:w="8313" w:type="dxa"/>
            <w:gridSpan w:val="3"/>
            <w:tcBorders>
              <w:top w:val="single" w:sz="8" w:space="0" w:color="FFFFFF"/>
              <w:bottom w:val="single" w:sz="8" w:space="0" w:color="FFFFFF"/>
            </w:tcBorders>
            <w:shd w:val="clear" w:color="auto" w:fill="C0C0C0"/>
          </w:tcPr>
          <w:p>
            <w:pPr>
              <w:pStyle w:val="TableParagraph"/>
              <w:spacing w:line="268" w:lineRule="exact" w:before="0"/>
              <w:ind w:left="0" w:right="-15"/>
              <w:rPr>
                <w:sz w:val="21"/>
              </w:rPr>
            </w:pPr>
            <w:r>
              <w:rPr>
                <w:spacing w:val="-19"/>
                <w:sz w:val="21"/>
              </w:rPr>
              <w:t>本合同“恶性肿瘤——重度”医疗津贴保险金的累计给付次数以三次为限。当累计给付的“恶</w:t>
            </w:r>
          </w:p>
        </w:tc>
      </w:tr>
      <w:tr>
        <w:trPr>
          <w:trHeight w:val="292" w:hRule="atLeast"/>
        </w:trPr>
        <w:tc>
          <w:tcPr>
            <w:tcW w:w="8313" w:type="dxa"/>
            <w:gridSpan w:val="3"/>
            <w:tcBorders>
              <w:top w:val="single" w:sz="8" w:space="0" w:color="FFFFFF"/>
              <w:bottom w:val="single" w:sz="8" w:space="0" w:color="FFFFFF"/>
            </w:tcBorders>
            <w:shd w:val="clear" w:color="auto" w:fill="C0C0C0"/>
          </w:tcPr>
          <w:p>
            <w:pPr>
              <w:pStyle w:val="TableParagraph"/>
              <w:spacing w:line="268" w:lineRule="exact" w:before="0"/>
              <w:ind w:left="0"/>
              <w:rPr>
                <w:sz w:val="21"/>
              </w:rPr>
            </w:pPr>
            <w:r>
              <w:rPr>
                <w:spacing w:val="-5"/>
                <w:sz w:val="21"/>
              </w:rPr>
              <w:t>性肿瘤——重度”医疗津贴保险金达到三次时，本合同“恶性肿瘤——重度”医疗津贴保险</w:t>
            </w:r>
          </w:p>
        </w:tc>
      </w:tr>
      <w:tr>
        <w:trPr>
          <w:trHeight w:val="293" w:hRule="atLeast"/>
        </w:trPr>
        <w:tc>
          <w:tcPr>
            <w:tcW w:w="1260" w:type="dxa"/>
            <w:gridSpan w:val="2"/>
            <w:tcBorders>
              <w:top w:val="single" w:sz="8" w:space="0" w:color="FFFFFF"/>
            </w:tcBorders>
            <w:shd w:val="clear" w:color="auto" w:fill="C0C0C0"/>
          </w:tcPr>
          <w:p>
            <w:pPr>
              <w:pStyle w:val="TableParagraph"/>
              <w:spacing w:line="268" w:lineRule="exact" w:before="0"/>
              <w:ind w:left="0" w:right="-15"/>
              <w:rPr>
                <w:sz w:val="21"/>
              </w:rPr>
            </w:pPr>
            <w:r>
              <w:rPr>
                <w:spacing w:val="-4"/>
                <w:sz w:val="21"/>
              </w:rPr>
              <w:t>金责任终止。</w:t>
            </w:r>
          </w:p>
        </w:tc>
        <w:tc>
          <w:tcPr>
            <w:tcW w:w="7053" w:type="dxa"/>
            <w:tcBorders>
              <w:top w:val="single" w:sz="8" w:space="0" w:color="FFFFFF"/>
            </w:tcBorders>
          </w:tcPr>
          <w:p>
            <w:pPr>
              <w:pStyle w:val="TableParagraph"/>
              <w:spacing w:before="0"/>
              <w:ind w:left="0"/>
              <w:rPr>
                <w:rFonts w:ascii="Times New Roman"/>
                <w:sz w:val="20"/>
              </w:rPr>
            </w:pPr>
          </w:p>
        </w:tc>
      </w:tr>
    </w:tbl>
    <w:p>
      <w:pPr>
        <w:pStyle w:val="ListParagraph"/>
        <w:numPr>
          <w:ilvl w:val="0"/>
          <w:numId w:val="5"/>
        </w:numPr>
        <w:tabs>
          <w:tab w:pos="871" w:val="left" w:leader="none"/>
        </w:tabs>
        <w:spacing w:line="240" w:lineRule="auto" w:before="19" w:after="0"/>
        <w:ind w:left="870" w:right="0" w:hanging="213"/>
        <w:jc w:val="left"/>
        <w:rPr>
          <w:sz w:val="21"/>
        </w:rPr>
      </w:pPr>
      <w:r>
        <w:rPr>
          <w:spacing w:val="-3"/>
          <w:sz w:val="21"/>
        </w:rPr>
        <w:t>特定心脑血管疾病保险金</w:t>
      </w:r>
    </w:p>
    <w:p>
      <w:pPr>
        <w:pStyle w:val="BodyText"/>
        <w:spacing w:line="278" w:lineRule="auto" w:before="43"/>
        <w:ind w:right="1548" w:firstLine="419"/>
        <w:jc w:val="both"/>
      </w:pPr>
      <w:r>
        <w:rPr>
          <w:spacing w:val="-7"/>
          <w:w w:val="100"/>
        </w:rPr>
        <w:t>被保险人因意外伤害或于等待期后因意外伤害以外的原因，由本公司指定或认可的医院</w:t>
      </w:r>
      <w:r>
        <w:rPr>
          <w:w w:val="100"/>
        </w:rPr>
        <w:t>的专科医生确诊发生的三次重大疾病均为本合同所列的除特定心脑血管疾病之外的其他重大疾病</w:t>
      </w:r>
      <w:r>
        <w:rPr>
          <w:spacing w:val="-3"/>
          <w:w w:val="100"/>
        </w:rPr>
        <w:t>（</w:t>
      </w:r>
      <w:r>
        <w:rPr>
          <w:spacing w:val="-1"/>
          <w:w w:val="100"/>
        </w:rPr>
        <w:t>无论一种或多种</w:t>
      </w:r>
      <w:r>
        <w:rPr>
          <w:spacing w:val="-108"/>
          <w:w w:val="100"/>
        </w:rPr>
        <w:t>）</w:t>
      </w:r>
      <w:r>
        <w:rPr>
          <w:spacing w:val="-3"/>
          <w:w w:val="100"/>
        </w:rPr>
        <w:t>，且本公司根据本合同重大疾病保险金责任约定已经给付重大疾</w:t>
      </w:r>
      <w:r>
        <w:rPr>
          <w:spacing w:val="-9"/>
          <w:w w:val="100"/>
        </w:rPr>
        <w:t>病保险金，自第三次重大疾病确诊之日起</w:t>
      </w:r>
      <w:r>
        <w:rPr>
          <w:spacing w:val="-53"/>
        </w:rPr>
        <w:t> </w:t>
      </w:r>
      <w:r>
        <w:rPr>
          <w:w w:val="100"/>
        </w:rPr>
        <w:t>180</w:t>
      </w:r>
      <w:r>
        <w:rPr>
          <w:spacing w:val="-55"/>
        </w:rPr>
        <w:t> </w:t>
      </w:r>
      <w:r>
        <w:rPr>
          <w:spacing w:val="-8"/>
          <w:w w:val="100"/>
        </w:rPr>
        <w:t>日以后，被保险人确诊初次发生本合同所列的</w:t>
      </w:r>
      <w:r>
        <w:rPr>
          <w:spacing w:val="-7"/>
          <w:w w:val="100"/>
        </w:rPr>
        <w:t>特定心脑血管疾病</w:t>
      </w:r>
      <w:r>
        <w:rPr>
          <w:w w:val="100"/>
        </w:rPr>
        <w:t>（</w:t>
      </w:r>
      <w:r>
        <w:rPr>
          <w:spacing w:val="-3"/>
          <w:w w:val="100"/>
        </w:rPr>
        <w:t>无论一种或多种</w:t>
      </w:r>
      <w:r>
        <w:rPr>
          <w:spacing w:val="-108"/>
          <w:w w:val="100"/>
        </w:rPr>
        <w:t>）</w:t>
      </w:r>
      <w:r>
        <w:rPr>
          <w:spacing w:val="-5"/>
          <w:w w:val="100"/>
        </w:rPr>
        <w:t>，本公司按本合同约定的基本保险金额的</w:t>
      </w:r>
      <w:r>
        <w:rPr>
          <w:spacing w:val="-53"/>
        </w:rPr>
        <w:t> </w:t>
      </w:r>
      <w:r>
        <w:rPr>
          <w:w w:val="100"/>
        </w:rPr>
        <w:t>12</w:t>
      </w:r>
      <w:r>
        <w:rPr>
          <w:spacing w:val="-2"/>
          <w:w w:val="100"/>
        </w:rPr>
        <w:t>0%给付特</w:t>
      </w:r>
      <w:r>
        <w:rPr>
          <w:spacing w:val="-3"/>
          <w:w w:val="100"/>
        </w:rPr>
        <w:t>定心脑血管疾病保险金，本合同特定心脑血管疾病保险金责任终止。</w:t>
      </w:r>
    </w:p>
    <w:p>
      <w:pPr>
        <w:pStyle w:val="BodyText"/>
        <w:spacing w:line="278" w:lineRule="auto"/>
        <w:ind w:right="1548" w:firstLine="419"/>
        <w:jc w:val="both"/>
      </w:pPr>
      <w:r>
        <w:rPr/>
        <w:pict>
          <v:shape style="position:absolute;margin-left:110.900002pt;margin-top:92.459984pt;width:394.65pt;height:14.8pt;mso-position-horizontal-relative:page;mso-position-vertical-relative:paragraph;z-index:15748608" type="#_x0000_t202" id="docshape30" filled="true" fillcolor="#c0c0c0" stroked="false">
            <v:textbox inset="0,0,0,0">
              <w:txbxContent>
                <w:p>
                  <w:pPr>
                    <w:pStyle w:val="BodyText"/>
                    <w:spacing w:before="22"/>
                    <w:ind w:left="0" w:right="-15"/>
                    <w:rPr>
                      <w:color w:val="000000"/>
                    </w:rPr>
                  </w:pPr>
                  <w:r>
                    <w:rPr>
                      <w:color w:val="000000"/>
                      <w:spacing w:val="-5"/>
                    </w:rPr>
                    <w:t>如果被保险人因同一疾病原因、同次医疗行为或同次意外伤害事故，导致同时确诊初次</w:t>
                  </w:r>
                </w:p>
              </w:txbxContent>
            </v:textbox>
            <v:fill type="solid"/>
            <w10:wrap type="none"/>
          </v:shape>
        </w:pict>
      </w:r>
      <w:r>
        <w:rPr/>
        <w:pict>
          <v:shape style="position:absolute;margin-left:121.459999pt;margin-top:76.859985pt;width:283.650pt;height:14.8pt;mso-position-horizontal-relative:page;mso-position-vertical-relative:paragraph;z-index:-17149952" type="#_x0000_t202" id="docshape31" filled="true" fillcolor="#c0c0c0" stroked="false">
            <v:textbox inset="0,0,0,0">
              <w:txbxContent>
                <w:p>
                  <w:pPr>
                    <w:pStyle w:val="BodyText"/>
                    <w:spacing w:before="23"/>
                    <w:ind w:left="0" w:right="-15"/>
                    <w:rPr>
                      <w:color w:val="000000"/>
                    </w:rPr>
                  </w:pPr>
                  <w:r>
                    <w:rPr>
                      <w:color w:val="000000"/>
                      <w:spacing w:val="-3"/>
                    </w:rPr>
                    <w:t>本合同特定心脑血管疾病保险金的累计给付次数以一次为限。</w:t>
                  </w:r>
                </w:p>
              </w:txbxContent>
            </v:textbox>
            <v:fill type="solid"/>
            <w10:wrap type="none"/>
          </v:shape>
        </w:pict>
      </w:r>
      <w:r>
        <w:rPr>
          <w:spacing w:val="-6"/>
        </w:rPr>
        <w:t>被保险人因意外伤害或于等待期后因意外伤害以外的原因，由本公司指定或认可的医院</w:t>
      </w:r>
      <w:r>
        <w:rPr>
          <w:spacing w:val="-2"/>
        </w:rPr>
        <w:t>的专科医生确诊初次发生本合同所列的特定心脑血管疾病（无论一种或多种</w:t>
      </w:r>
      <w:r>
        <w:rPr>
          <w:spacing w:val="-108"/>
        </w:rPr>
        <w:t>）</w:t>
      </w:r>
      <w:r>
        <w:rPr>
          <w:spacing w:val="-2"/>
        </w:rPr>
        <w:t>，且本公司根</w:t>
      </w:r>
      <w:r>
        <w:rPr>
          <w:spacing w:val="-6"/>
        </w:rPr>
        <w:t>据本合同重大疾病保险金责任约定已经给付重大疾病保险金，自该种特定心脑血管疾病确诊</w:t>
      </w:r>
      <w:r>
        <w:rPr>
          <w:spacing w:val="-9"/>
        </w:rPr>
        <w:t>之日起 </w:t>
      </w:r>
      <w:r>
        <w:rPr>
          <w:spacing w:val="-4"/>
        </w:rPr>
        <w:t>365</w:t>
      </w:r>
      <w:r>
        <w:rPr>
          <w:spacing w:val="-8"/>
        </w:rPr>
        <w:t> 日以后，被保险人再次确诊发生该种特定心脑血管疾病，本公司按本合同约定的</w:t>
      </w:r>
      <w:r>
        <w:rPr>
          <w:spacing w:val="-2"/>
        </w:rPr>
        <w:t>基本保险金额的 </w:t>
      </w:r>
      <w:r>
        <w:rPr/>
        <w:t>120%给付特定心脑血管疾病保险金，本合同特定心脑血管疾病保险金责任</w:t>
      </w:r>
      <w:r>
        <w:rPr>
          <w:spacing w:val="-4"/>
        </w:rPr>
        <w:t>终止。</w:t>
      </w:r>
    </w:p>
    <w:p>
      <w:pPr>
        <w:pStyle w:val="BodyText"/>
        <w:spacing w:before="8"/>
        <w:ind w:left="0"/>
        <w:rPr>
          <w:sz w:val="20"/>
        </w:rPr>
      </w:pPr>
      <w:r>
        <w:rPr/>
        <w:pict>
          <v:shape style="position:absolute;margin-left:89.903999pt;margin-top:14.4325pt;width:415.65pt;height:14.8pt;mso-position-horizontal-relative:page;mso-position-vertical-relative:paragraph;z-index:-15713280;mso-wrap-distance-left:0;mso-wrap-distance-right:0" type="#_x0000_t202" id="docshape32" filled="true" fillcolor="#c0c0c0" stroked="false">
            <v:textbox inset="0,0,0,0">
              <w:txbxContent>
                <w:p>
                  <w:pPr>
                    <w:pStyle w:val="BodyText"/>
                    <w:spacing w:before="22"/>
                    <w:ind w:left="0" w:right="-15"/>
                    <w:rPr>
                      <w:color w:val="000000"/>
                    </w:rPr>
                  </w:pPr>
                  <w:r>
                    <w:rPr>
                      <w:color w:val="000000"/>
                      <w:spacing w:val="-7"/>
                    </w:rPr>
                    <w:t>发生本合同所列的两种或两种以上的特定心脑血管疾病，本公司仅按一种特定心脑血管疾病</w:t>
                  </w:r>
                </w:p>
              </w:txbxContent>
            </v:textbox>
            <v:fill type="solid"/>
            <w10:wrap type="topAndBottom"/>
          </v:shape>
        </w:pict>
      </w:r>
    </w:p>
    <w:p>
      <w:pPr>
        <w:pStyle w:val="BodyText"/>
        <w:rPr>
          <w:sz w:val="20"/>
        </w:rPr>
      </w:pPr>
      <w:r>
        <w:rPr>
          <w:sz w:val="20"/>
        </w:rPr>
        <w:pict>
          <v:shape style="width:147.15pt;height:14.8pt;mso-position-horizontal-relative:char;mso-position-vertical-relative:line" type="#_x0000_t202" id="docshape33" filled="true" fillcolor="#c0c0c0" stroked="false">
            <w10:anchorlock/>
            <v:textbox inset="0,0,0,0">
              <w:txbxContent>
                <w:p>
                  <w:pPr>
                    <w:pStyle w:val="BodyText"/>
                    <w:spacing w:before="23"/>
                    <w:ind w:left="0" w:right="-15"/>
                    <w:rPr>
                      <w:color w:val="000000"/>
                    </w:rPr>
                  </w:pPr>
                  <w:r>
                    <w:rPr>
                      <w:color w:val="000000"/>
                      <w:spacing w:val="-5"/>
                    </w:rPr>
                    <w:t>给付特定心脑血管疾病保险金。</w:t>
                  </w:r>
                </w:p>
              </w:txbxContent>
            </v:textbox>
            <v:fill type="solid"/>
          </v:shape>
        </w:pict>
      </w:r>
      <w:r>
        <w:rPr>
          <w:sz w:val="20"/>
        </w:rPr>
      </w:r>
    </w:p>
    <w:p>
      <w:pPr>
        <w:pStyle w:val="BodyText"/>
        <w:spacing w:before="8"/>
        <w:ind w:left="0"/>
      </w:pPr>
    </w:p>
    <w:p>
      <w:pPr>
        <w:pStyle w:val="Heading5"/>
        <w:spacing w:before="71"/>
        <w:rPr>
          <w:rFonts w:ascii="黑体" w:eastAsia="黑体" w:hint="eastAsia"/>
        </w:rPr>
      </w:pPr>
      <w:r>
        <w:rPr/>
        <w:pict>
          <v:shape style="position:absolute;margin-left:111.019997pt;margin-top:18.016001pt;width:388.65pt;height:14.8pt;mso-position-horizontal-relative:page;mso-position-vertical-relative:paragraph;z-index:-15712256;mso-wrap-distance-left:0;mso-wrap-distance-right:0" type="#_x0000_t202" id="docshape34" filled="true" fillcolor="#c0c0c0" stroked="false">
            <v:textbox inset="0,0,0,0">
              <w:txbxContent>
                <w:p>
                  <w:pPr>
                    <w:pStyle w:val="BodyText"/>
                    <w:spacing w:before="23"/>
                    <w:ind w:left="2" w:right="-15"/>
                    <w:rPr>
                      <w:rFonts w:ascii="黑体" w:eastAsia="黑体"/>
                      <w:color w:val="000000"/>
                    </w:rPr>
                  </w:pPr>
                  <w:r>
                    <w:rPr>
                      <w:rFonts w:ascii="黑体" w:eastAsia="黑体"/>
                      <w:color w:val="000000"/>
                      <w:spacing w:val="-3"/>
                    </w:rPr>
                    <w:t>因下述一种或多种情形导致被保险人身故或全残，发生本合同所列的重大疾病、中症</w:t>
                  </w:r>
                </w:p>
              </w:txbxContent>
            </v:textbox>
            <v:fill type="solid"/>
            <w10:wrap type="topAndBottom"/>
          </v:shape>
        </w:pict>
      </w:r>
      <w:bookmarkStart w:name="_bookmark10" w:id="11"/>
      <w:bookmarkEnd w:id="11"/>
      <w:r>
        <w:rPr>
          <w:b w:val="0"/>
        </w:rPr>
      </w:r>
      <w:r>
        <w:rPr>
          <w:rFonts w:ascii="黑体" w:eastAsia="黑体" w:hint="eastAsia"/>
          <w:spacing w:val="-5"/>
        </w:rPr>
        <w:t>第九条 责任免除</w:t>
      </w:r>
    </w:p>
    <w:p>
      <w:pPr>
        <w:pStyle w:val="BodyText"/>
        <w:rPr>
          <w:rFonts w:ascii="黑体"/>
          <w:sz w:val="20"/>
        </w:rPr>
      </w:pPr>
      <w:r>
        <w:rPr>
          <w:rFonts w:ascii="黑体"/>
          <w:sz w:val="20"/>
        </w:rPr>
        <w:pict>
          <v:shape style="width:409.75pt;height:14.8pt;mso-position-horizontal-relative:char;mso-position-vertical-relative:line" type="#_x0000_t202" id="docshape35" filled="true" fillcolor="#c0c0c0" stroked="false">
            <w10:anchorlock/>
            <v:textbox inset="0,0,0,0">
              <w:txbxContent>
                <w:p>
                  <w:pPr>
                    <w:pStyle w:val="BodyText"/>
                    <w:spacing w:before="22"/>
                    <w:ind w:left="0" w:right="-15"/>
                    <w:rPr>
                      <w:rFonts w:ascii="黑体" w:eastAsia="黑体"/>
                      <w:color w:val="000000"/>
                    </w:rPr>
                  </w:pPr>
                  <w:r>
                    <w:rPr>
                      <w:rFonts w:ascii="黑体" w:eastAsia="黑体"/>
                      <w:color w:val="000000"/>
                      <w:spacing w:val="-5"/>
                    </w:rPr>
                    <w:t>疾病、轻症疾病、特定疾病、特定心脑血管疾病的，本公司不承担给付保险金和豁免保险</w:t>
                  </w:r>
                </w:p>
              </w:txbxContent>
            </v:textbox>
            <v:fill type="solid"/>
          </v:shape>
        </w:pict>
      </w:r>
      <w:r>
        <w:rPr>
          <w:rFonts w:ascii="黑体"/>
          <w:sz w:val="20"/>
        </w:rPr>
      </w:r>
    </w:p>
    <w:p>
      <w:pPr>
        <w:pStyle w:val="BodyText"/>
        <w:rPr>
          <w:rFonts w:ascii="黑体"/>
          <w:sz w:val="20"/>
        </w:rPr>
      </w:pPr>
      <w:r>
        <w:rPr>
          <w:rFonts w:ascii="黑体"/>
          <w:sz w:val="20"/>
        </w:rPr>
        <w:pict>
          <v:shape style="width:52.6pt;height:14.8pt;mso-position-horizontal-relative:char;mso-position-vertical-relative:line" type="#_x0000_t202" id="docshape36" filled="true" fillcolor="#c0c0c0" stroked="false">
            <w10:anchorlock/>
            <v:textbox inset="0,0,0,0">
              <w:txbxContent>
                <w:p>
                  <w:pPr>
                    <w:pStyle w:val="BodyText"/>
                    <w:spacing w:before="23"/>
                    <w:ind w:left="0" w:right="-15"/>
                    <w:rPr>
                      <w:rFonts w:ascii="黑体" w:eastAsia="黑体"/>
                      <w:color w:val="000000"/>
                    </w:rPr>
                  </w:pPr>
                  <w:r>
                    <w:rPr>
                      <w:rFonts w:ascii="黑体" w:eastAsia="黑体"/>
                      <w:color w:val="000000"/>
                      <w:spacing w:val="-6"/>
                    </w:rPr>
                    <w:t>费的责任：</w:t>
                  </w:r>
                </w:p>
              </w:txbxContent>
            </v:textbox>
            <v:fill type="solid"/>
          </v:shape>
        </w:pict>
      </w:r>
      <w:r>
        <w:rPr>
          <w:rFonts w:ascii="黑体"/>
          <w:sz w:val="20"/>
        </w:rPr>
      </w:r>
    </w:p>
    <w:p>
      <w:pPr>
        <w:pStyle w:val="BodyText"/>
        <w:ind w:left="660"/>
        <w:rPr>
          <w:rFonts w:ascii="黑体"/>
          <w:sz w:val="20"/>
        </w:rPr>
      </w:pPr>
      <w:r>
        <w:rPr>
          <w:rFonts w:ascii="黑体"/>
          <w:sz w:val="20"/>
        </w:rPr>
        <w:pict>
          <v:shape style="width:231.05pt;height:14.8pt;mso-position-horizontal-relative:char;mso-position-vertical-relative:line" type="#_x0000_t202" id="docshape37" filled="true" fillcolor="#c0c0c0" stroked="false">
            <w10:anchorlock/>
            <v:textbox inset="0,0,0,0">
              <w:txbxContent>
                <w:p>
                  <w:pPr>
                    <w:pStyle w:val="BodyText"/>
                    <w:spacing w:before="23"/>
                    <w:ind w:left="-3" w:right="-15"/>
                    <w:rPr>
                      <w:rFonts w:ascii="黑体" w:eastAsia="黑体"/>
                      <w:color w:val="000000"/>
                    </w:rPr>
                  </w:pPr>
                  <w:r>
                    <w:rPr>
                      <w:rFonts w:ascii="黑体" w:eastAsia="黑体"/>
                      <w:color w:val="000000"/>
                      <w:spacing w:val="-4"/>
                    </w:rPr>
                    <w:t>（一）</w:t>
                  </w:r>
                  <w:r>
                    <w:rPr>
                      <w:rFonts w:ascii="黑体" w:eastAsia="黑体"/>
                      <w:color w:val="000000"/>
                      <w:spacing w:val="-5"/>
                    </w:rPr>
                    <w:t>投保人对被保险人的故意杀害、故意伤害；</w:t>
                  </w:r>
                </w:p>
              </w:txbxContent>
            </v:textbox>
            <v:fill type="solid"/>
          </v:shape>
        </w:pict>
      </w:r>
      <w:r>
        <w:rPr>
          <w:rFonts w:ascii="黑体"/>
          <w:sz w:val="20"/>
        </w:rPr>
      </w:r>
    </w:p>
    <w:p>
      <w:pPr>
        <w:pStyle w:val="BodyText"/>
        <w:ind w:left="660"/>
        <w:rPr>
          <w:rFonts w:ascii="黑体"/>
          <w:sz w:val="20"/>
        </w:rPr>
      </w:pPr>
      <w:r>
        <w:rPr>
          <w:rFonts w:ascii="黑体"/>
          <w:sz w:val="20"/>
        </w:rPr>
        <w:pict>
          <v:shape style="width:273.05pt;height:14.8pt;mso-position-horizontal-relative:char;mso-position-vertical-relative:line" type="#_x0000_t202" id="docshape38" filled="true" fillcolor="#c0c0c0" stroked="false">
            <w10:anchorlock/>
            <v:textbox inset="0,0,0,0">
              <w:txbxContent>
                <w:p>
                  <w:pPr>
                    <w:pStyle w:val="BodyText"/>
                    <w:spacing w:before="22"/>
                    <w:ind w:left="-3" w:right="-15"/>
                    <w:rPr>
                      <w:rFonts w:ascii="黑体" w:eastAsia="黑体"/>
                      <w:color w:val="000000"/>
                    </w:rPr>
                  </w:pPr>
                  <w:r>
                    <w:rPr>
                      <w:rFonts w:ascii="黑体" w:eastAsia="黑体"/>
                      <w:color w:val="000000"/>
                      <w:spacing w:val="-4"/>
                    </w:rPr>
                    <w:t>（二）</w:t>
                  </w:r>
                  <w:r>
                    <w:rPr>
                      <w:rFonts w:ascii="黑体" w:eastAsia="黑体"/>
                      <w:color w:val="000000"/>
                      <w:spacing w:val="-5"/>
                    </w:rPr>
                    <w:t>被保险人故意犯罪或抗拒依法采取的刑事强制措施；</w:t>
                  </w:r>
                </w:p>
              </w:txbxContent>
            </v:textbox>
            <v:fill type="solid"/>
          </v:shape>
        </w:pict>
      </w:r>
      <w:r>
        <w:rPr>
          <w:rFonts w:ascii="黑体"/>
          <w:sz w:val="20"/>
        </w:rPr>
      </w:r>
    </w:p>
    <w:p>
      <w:pPr>
        <w:pStyle w:val="BodyText"/>
        <w:ind w:left="660"/>
        <w:rPr>
          <w:rFonts w:ascii="黑体"/>
          <w:sz w:val="20"/>
        </w:rPr>
      </w:pPr>
      <w:r>
        <w:rPr>
          <w:rFonts w:ascii="黑体"/>
          <w:sz w:val="20"/>
        </w:rPr>
        <w:pict>
          <v:shape style="width:393.8pt;height:14.8pt;mso-position-horizontal-relative:char;mso-position-vertical-relative:line" type="#_x0000_t202" id="docshape39" filled="true" fillcolor="#c0c0c0" stroked="false">
            <w10:anchorlock/>
            <v:textbox inset="0,0,0,0">
              <w:txbxContent>
                <w:p>
                  <w:pPr>
                    <w:pStyle w:val="BodyText"/>
                    <w:spacing w:before="23"/>
                    <w:ind w:left="-3" w:right="-15"/>
                    <w:rPr>
                      <w:rFonts w:ascii="黑体" w:eastAsia="黑体"/>
                      <w:color w:val="000000"/>
                    </w:rPr>
                  </w:pPr>
                  <w:r>
                    <w:rPr>
                      <w:rFonts w:ascii="黑体" w:eastAsia="黑体"/>
                      <w:color w:val="000000"/>
                      <w:spacing w:val="-4"/>
                    </w:rPr>
                    <w:t>（三）被保险人故意自伤、或自本合同成立或本合同效力恢复之日起2</w:t>
                  </w:r>
                  <w:r>
                    <w:rPr>
                      <w:rFonts w:ascii="黑体" w:eastAsia="黑体"/>
                      <w:color w:val="000000"/>
                      <w:spacing w:val="-5"/>
                    </w:rPr>
                    <w:t>年内自杀，但被</w:t>
                  </w:r>
                </w:p>
              </w:txbxContent>
            </v:textbox>
            <v:fill type="solid"/>
          </v:shape>
        </w:pict>
      </w:r>
      <w:r>
        <w:rPr>
          <w:rFonts w:ascii="黑体"/>
          <w:sz w:val="20"/>
        </w:rPr>
      </w:r>
    </w:p>
    <w:p>
      <w:pPr>
        <w:pStyle w:val="BodyText"/>
        <w:ind w:left="1289"/>
        <w:rPr>
          <w:rFonts w:ascii="黑体"/>
          <w:sz w:val="20"/>
        </w:rPr>
      </w:pPr>
      <w:r>
        <w:rPr>
          <w:rFonts w:ascii="黑体"/>
          <w:sz w:val="20"/>
        </w:rPr>
        <w:pict>
          <v:shape style="width:199.65pt;height:14.8pt;mso-position-horizontal-relative:char;mso-position-vertical-relative:line" type="#_x0000_t202" id="docshape40" filled="true" fillcolor="#c0c0c0" stroked="false">
            <w10:anchorlock/>
            <v:textbox inset="0,0,0,0">
              <w:txbxContent>
                <w:p>
                  <w:pPr>
                    <w:pStyle w:val="BodyText"/>
                    <w:spacing w:before="22"/>
                    <w:ind w:left="-1" w:right="-15"/>
                    <w:rPr>
                      <w:rFonts w:ascii="黑体" w:eastAsia="黑体"/>
                      <w:color w:val="000000"/>
                    </w:rPr>
                  </w:pPr>
                  <w:r>
                    <w:rPr>
                      <w:rFonts w:ascii="黑体" w:eastAsia="黑体"/>
                      <w:color w:val="000000"/>
                      <w:spacing w:val="-5"/>
                    </w:rPr>
                    <w:t>保险人自杀时为无民事行为能力人的除外；</w:t>
                  </w:r>
                </w:p>
              </w:txbxContent>
            </v:textbox>
            <v:fill type="solid"/>
          </v:shape>
        </w:pict>
      </w:r>
      <w:r>
        <w:rPr>
          <w:rFonts w:ascii="黑体"/>
          <w:sz w:val="20"/>
        </w:rPr>
      </w:r>
    </w:p>
    <w:p>
      <w:pPr>
        <w:spacing w:after="0"/>
        <w:rPr>
          <w:rFonts w:ascii="黑体"/>
          <w:sz w:val="20"/>
        </w:rPr>
        <w:sectPr>
          <w:pgSz w:w="11910" w:h="16840"/>
          <w:pgMar w:header="0" w:footer="1005" w:top="1400" w:bottom="1200" w:left="1560" w:right="240"/>
        </w:sectPr>
      </w:pPr>
    </w:p>
    <w:p>
      <w:pPr>
        <w:pStyle w:val="BodyText"/>
        <w:spacing w:before="10"/>
        <w:ind w:left="0"/>
        <w:rPr>
          <w:rFonts w:ascii="黑体"/>
          <w:b/>
        </w:rPr>
      </w:pPr>
    </w:p>
    <w:p>
      <w:pPr>
        <w:pStyle w:val="Heading5"/>
        <w:spacing w:before="71" w:after="21"/>
        <w:rPr>
          <w:rFonts w:ascii="黑体" w:eastAsia="黑体" w:hint="eastAsia"/>
        </w:rPr>
      </w:pPr>
      <w:r>
        <w:rPr/>
        <w:drawing>
          <wp:anchor distT="0" distB="0" distL="0" distR="0" allowOverlap="1" layoutInCell="1" locked="0" behindDoc="1" simplePos="0" relativeHeight="486168064">
            <wp:simplePos x="0" y="0"/>
            <wp:positionH relativeFrom="page">
              <wp:posOffset>1141780</wp:posOffset>
            </wp:positionH>
            <wp:positionV relativeFrom="paragraph">
              <wp:posOffset>-365633</wp:posOffset>
            </wp:positionV>
            <wp:extent cx="5278501" cy="187451"/>
            <wp:effectExtent l="0" t="0" r="0" b="0"/>
            <wp:wrapNone/>
            <wp:docPr id="7" name="image4.png"/>
            <wp:cNvGraphicFramePr>
              <a:graphicFrameLocks noChangeAspect="1"/>
            </wp:cNvGraphicFramePr>
            <a:graphic>
              <a:graphicData uri="http://schemas.openxmlformats.org/drawingml/2006/picture">
                <pic:pic>
                  <pic:nvPicPr>
                    <pic:cNvPr id="8" name="image4.png"/>
                    <pic:cNvPicPr/>
                  </pic:nvPicPr>
                  <pic:blipFill>
                    <a:blip r:embed="rId9" cstate="print"/>
                    <a:stretch>
                      <a:fillRect/>
                    </a:stretch>
                  </pic:blipFill>
                  <pic:spPr>
                    <a:xfrm>
                      <a:off x="0" y="0"/>
                      <a:ext cx="5278501" cy="187451"/>
                    </a:xfrm>
                    <a:prstGeom prst="rect">
                      <a:avLst/>
                    </a:prstGeom>
                  </pic:spPr>
                </pic:pic>
              </a:graphicData>
            </a:graphic>
          </wp:anchor>
        </w:drawing>
      </w:r>
      <w:r>
        <w:rPr/>
        <w:pict>
          <v:shape style="position:absolute;margin-left:89.903999pt;margin-top:-28.790007pt;width:421.05pt;height:14.8pt;mso-position-horizontal-relative:page;mso-position-vertical-relative:paragraph;z-index:-17147904" type="#_x0000_t202" id="docshape41" filled="false" stroked="false">
            <v:textbox inset="0,0,0,0">
              <w:txbxContent>
                <w:p>
                  <w:pPr>
                    <w:pStyle w:val="BodyText"/>
                    <w:spacing w:before="22"/>
                    <w:ind w:left="0"/>
                    <w:rPr>
                      <w:rFonts w:ascii="黑体" w:eastAsia="黑体"/>
                    </w:rPr>
                  </w:pPr>
                  <w:r>
                    <w:rPr>
                      <w:rFonts w:ascii="黑体" w:eastAsia="黑体"/>
                      <w:spacing w:val="-13"/>
                    </w:rPr>
                    <w:t>病、特定疾病、特定心脑血管疾病的，本公司向投保人退还本合同的现金价值，本合同终止。</w:t>
                  </w:r>
                </w:p>
              </w:txbxContent>
            </v:textbox>
            <w10:wrap type="none"/>
          </v:shape>
        </w:pict>
      </w:r>
      <w:r>
        <w:rPr/>
        <w:pict>
          <v:shape style="position:absolute;margin-left:110.900002pt;margin-top:-44.390007pt;width:394.65pt;height:14.8pt;mso-position-horizontal-relative:page;mso-position-vertical-relative:paragraph;z-index:-17147392" type="#_x0000_t202" id="docshape42" filled="true" fillcolor="#c0c0c0" stroked="false">
            <v:textbox inset="0,0,0,0">
              <w:txbxContent>
                <w:p>
                  <w:pPr>
                    <w:pStyle w:val="BodyText"/>
                    <w:spacing w:before="23"/>
                    <w:ind w:left="0" w:right="-15"/>
                    <w:rPr>
                      <w:rFonts w:ascii="黑体" w:eastAsia="黑体"/>
                      <w:color w:val="000000"/>
                    </w:rPr>
                  </w:pPr>
                  <w:r>
                    <w:rPr>
                      <w:rFonts w:ascii="黑体" w:eastAsia="黑体"/>
                      <w:color w:val="000000"/>
                      <w:spacing w:val="-5"/>
                    </w:rPr>
                    <w:t>被保险人因上述其他情形身故或全残，发生本合同所列的重大疾病、中症疾病、轻症疾</w:t>
                  </w:r>
                </w:p>
              </w:txbxContent>
            </v:textbox>
            <v:fill type="solid"/>
            <w10:wrap type="none"/>
          </v:shape>
        </w:pict>
      </w:r>
      <w:r>
        <w:rPr/>
        <w:pict>
          <v:shape style="position:absolute;margin-left:89.903999pt;margin-top:-59.990005pt;width:21pt;height:15.6pt;mso-position-horizontal-relative:page;mso-position-vertical-relative:paragraph;z-index:-17146880" type="#_x0000_t202" id="docshape43" filled="true" fillcolor="#c0c0c0" stroked="false">
            <v:textbox inset="0,0,0,0">
              <w:txbxContent>
                <w:p>
                  <w:pPr>
                    <w:pStyle w:val="BodyText"/>
                    <w:spacing w:before="22"/>
                    <w:ind w:left="0" w:right="-15"/>
                    <w:rPr>
                      <w:rFonts w:ascii="黑体" w:eastAsia="黑体"/>
                      <w:color w:val="000000"/>
                    </w:rPr>
                  </w:pPr>
                  <w:r>
                    <w:rPr>
                      <w:rFonts w:ascii="黑体" w:eastAsia="黑体"/>
                      <w:color w:val="000000"/>
                      <w:spacing w:val="-5"/>
                    </w:rPr>
                    <w:t>止。</w:t>
                  </w:r>
                </w:p>
              </w:txbxContent>
            </v:textbox>
            <v:fill type="solid"/>
            <w10:wrap type="none"/>
          </v:shape>
        </w:pict>
      </w:r>
      <w:r>
        <w:rPr/>
        <w:pict>
          <v:shape style="position:absolute;margin-left:89.903999pt;margin-top:-75.614006pt;width:415.65pt;height:14.8pt;mso-position-horizontal-relative:page;mso-position-vertical-relative:paragraph;z-index:-17146368" type="#_x0000_t202" id="docshape44" filled="true" fillcolor="#c0c0c0" stroked="false">
            <v:textbox inset="0,0,0,0">
              <w:txbxContent>
                <w:p>
                  <w:pPr>
                    <w:pStyle w:val="BodyText"/>
                    <w:spacing w:before="23"/>
                    <w:ind w:left="0" w:right="-15"/>
                    <w:rPr>
                      <w:rFonts w:ascii="黑体" w:eastAsia="黑体"/>
                      <w:color w:val="000000"/>
                    </w:rPr>
                  </w:pPr>
                  <w:r>
                    <w:rPr>
                      <w:rFonts w:ascii="黑体" w:eastAsia="黑体"/>
                      <w:color w:val="000000"/>
                      <w:spacing w:val="-5"/>
                    </w:rPr>
                    <w:t>病、特定疾病、特定心脑血管疾病的，本公司向被保险人退还本合同的现金价值，本合同终</w:t>
                  </w:r>
                </w:p>
              </w:txbxContent>
            </v:textbox>
            <v:fill type="solid"/>
            <w10:wrap type="none"/>
          </v:shape>
        </w:pict>
      </w:r>
      <w:r>
        <w:rPr/>
        <w:pict>
          <v:shape style="position:absolute;margin-left:110.900002pt;margin-top:-91.220009pt;width:394.65pt;height:14.8pt;mso-position-horizontal-relative:page;mso-position-vertical-relative:paragraph;z-index:-17145856" type="#_x0000_t202" id="docshape45" filled="true" fillcolor="#c0c0c0" stroked="false">
            <v:textbox inset="0,0,0,0">
              <w:txbxContent>
                <w:p>
                  <w:pPr>
                    <w:pStyle w:val="BodyText"/>
                    <w:spacing w:before="23"/>
                    <w:ind w:left="0" w:right="-15"/>
                    <w:rPr>
                      <w:rFonts w:ascii="黑体" w:eastAsia="黑体"/>
                      <w:color w:val="000000"/>
                    </w:rPr>
                  </w:pPr>
                  <w:r>
                    <w:rPr>
                      <w:rFonts w:ascii="黑体" w:eastAsia="黑体"/>
                      <w:color w:val="000000"/>
                      <w:spacing w:val="-4"/>
                    </w:rPr>
                    <w:t>被保险人因上述第（一）</w:t>
                  </w:r>
                  <w:r>
                    <w:rPr>
                      <w:rFonts w:ascii="黑体" w:eastAsia="黑体"/>
                      <w:color w:val="000000"/>
                      <w:spacing w:val="-5"/>
                    </w:rPr>
                    <w:t>项情形全残或发生本合同所列的重大疾病、中症疾病、轻症疾</w:t>
                  </w:r>
                </w:p>
              </w:txbxContent>
            </v:textbox>
            <v:fill type="solid"/>
            <w10:wrap type="none"/>
          </v:shape>
        </w:pict>
      </w:r>
      <w:r>
        <w:rPr/>
        <w:pict>
          <v:shape style="position:absolute;margin-left:89.903999pt;margin-top:-106.820007pt;width:94.6pt;height:14.8pt;mso-position-horizontal-relative:page;mso-position-vertical-relative:paragraph;z-index:-17145344" type="#_x0000_t202" id="docshape46" filled="true" fillcolor="#c0c0c0" stroked="false">
            <v:textbox inset="0,0,0,0">
              <w:txbxContent>
                <w:p>
                  <w:pPr>
                    <w:pStyle w:val="BodyText"/>
                    <w:spacing w:before="23"/>
                    <w:ind w:left="0" w:right="-15"/>
                    <w:rPr>
                      <w:rFonts w:ascii="黑体" w:eastAsia="黑体"/>
                      <w:color w:val="000000"/>
                    </w:rPr>
                  </w:pPr>
                  <w:r>
                    <w:rPr>
                      <w:rFonts w:ascii="黑体" w:eastAsia="黑体"/>
                      <w:color w:val="000000"/>
                      <w:spacing w:val="-3"/>
                    </w:rPr>
                    <w:t>价值，本合同终止。</w:t>
                  </w:r>
                </w:p>
              </w:txbxContent>
            </v:textbox>
            <v:fill type="solid"/>
            <w10:wrap type="none"/>
          </v:shape>
        </w:pict>
      </w:r>
      <w:r>
        <w:rPr/>
        <w:pict>
          <v:shape style="position:absolute;margin-left:110.900002pt;margin-top:-122.420006pt;width:394.65pt;height:14.8pt;mso-position-horizontal-relative:page;mso-position-vertical-relative:paragraph;z-index:-17144832" type="#_x0000_t202" id="docshape47" filled="true" fillcolor="#c0c0c0" stroked="false">
            <v:textbox inset="0,0,0,0">
              <w:txbxContent>
                <w:p>
                  <w:pPr>
                    <w:pStyle w:val="BodyText"/>
                    <w:spacing w:before="22"/>
                    <w:ind w:left="0" w:right="-15"/>
                    <w:rPr>
                      <w:rFonts w:ascii="黑体" w:eastAsia="黑体"/>
                      <w:color w:val="000000"/>
                    </w:rPr>
                  </w:pPr>
                  <w:r>
                    <w:rPr>
                      <w:rFonts w:ascii="黑体" w:eastAsia="黑体"/>
                      <w:color w:val="000000"/>
                      <w:spacing w:val="-4"/>
                    </w:rPr>
                    <w:t>被保险人因上述第（一）</w:t>
                  </w:r>
                  <w:r>
                    <w:rPr>
                      <w:rFonts w:ascii="黑体" w:eastAsia="黑体"/>
                      <w:color w:val="000000"/>
                      <w:spacing w:val="-5"/>
                    </w:rPr>
                    <w:t>项情形身故的，本公司向被保险人的继承人退还本合同的现金</w:t>
                  </w:r>
                </w:p>
              </w:txbxContent>
            </v:textbox>
            <v:fill type="solid"/>
            <w10:wrap type="none"/>
          </v:shape>
        </w:pict>
      </w:r>
      <w:r>
        <w:rPr/>
        <w:pict>
          <v:shape style="position:absolute;margin-left:142.460007pt;margin-top:-138.020004pt;width:152.3pt;height:14.8pt;mso-position-horizontal-relative:page;mso-position-vertical-relative:paragraph;z-index:-17144320" type="#_x0000_t202" id="docshape48" filled="true" fillcolor="#c0c0c0" stroked="false">
            <v:textbox inset="0,0,0,0">
              <w:txbxContent>
                <w:p>
                  <w:pPr>
                    <w:pStyle w:val="BodyText"/>
                    <w:spacing w:before="23"/>
                    <w:ind w:left="0"/>
                    <w:rPr>
                      <w:rFonts w:ascii="黑体" w:hAnsi="黑体" w:eastAsia="黑体"/>
                      <w:color w:val="000000"/>
                    </w:rPr>
                  </w:pPr>
                  <w:r>
                    <w:rPr>
                      <w:rFonts w:ascii="黑体" w:hAnsi="黑体" w:eastAsia="黑体"/>
                      <w:color w:val="000000"/>
                      <w:spacing w:val="-2"/>
                    </w:rPr>
                    <w:t>疾病列表”中疾病定义的除外</w:t>
                  </w:r>
                  <w:r>
                    <w:rPr>
                      <w:rFonts w:ascii="黑体" w:hAnsi="黑体" w:eastAsia="黑体"/>
                      <w:color w:val="000000"/>
                      <w:spacing w:val="-108"/>
                    </w:rPr>
                    <w:t>）</w:t>
                  </w:r>
                  <w:r>
                    <w:rPr>
                      <w:rFonts w:ascii="黑体" w:hAnsi="黑体" w:eastAsia="黑体"/>
                      <w:color w:val="000000"/>
                      <w:spacing w:val="-118"/>
                    </w:rPr>
                    <w:t>。</w:t>
                  </w:r>
                </w:p>
              </w:txbxContent>
            </v:textbox>
            <v:fill type="solid"/>
            <w10:wrap type="none"/>
          </v:shape>
        </w:pict>
      </w:r>
      <w:r>
        <w:rPr/>
        <w:pict>
          <v:shape style="position:absolute;margin-left:142.460007pt;margin-top:-153.62001pt;width:363.1pt;height:14.8pt;mso-position-horizontal-relative:page;mso-position-vertical-relative:paragraph;z-index:-17143808" type="#_x0000_t202" id="docshape49" filled="true" fillcolor="#c0c0c0" stroked="false">
            <v:textbox inset="0,0,0,0">
              <w:txbxContent>
                <w:p>
                  <w:pPr>
                    <w:pStyle w:val="BodyText"/>
                    <w:spacing w:before="22"/>
                    <w:ind w:left="0" w:right="-15"/>
                    <w:rPr>
                      <w:rFonts w:ascii="黑体" w:hAnsi="黑体" w:eastAsia="黑体"/>
                      <w:color w:val="000000"/>
                    </w:rPr>
                  </w:pPr>
                  <w:r>
                    <w:rPr>
                      <w:rFonts w:ascii="黑体" w:hAnsi="黑体" w:eastAsia="黑体"/>
                      <w:color w:val="000000"/>
                      <w:spacing w:val="-7"/>
                    </w:rPr>
                    <w:t>病列表”“附表二：中症疾病列表”“附表三：轻症疾病列表”“附表四：特定</w:t>
                  </w:r>
                </w:p>
              </w:txbxContent>
            </v:textbox>
            <v:fill type="solid"/>
            <w10:wrap type="none"/>
          </v:shape>
        </w:pict>
      </w:r>
      <w:r>
        <w:rPr/>
        <w:pict>
          <v:shape style="position:absolute;margin-left:110.900002pt;margin-top:-169.220001pt;width:394.65pt;height:14.8pt;mso-position-horizontal-relative:page;mso-position-vertical-relative:paragraph;z-index:-17143296" type="#_x0000_t202" id="docshape50" filled="true" fillcolor="#c0c0c0" stroked="false">
            <v:textbox inset="0,0,0,0">
              <w:txbxContent>
                <w:p>
                  <w:pPr>
                    <w:spacing w:before="23"/>
                    <w:ind w:left="0" w:right="-15" w:firstLine="0"/>
                    <w:jc w:val="left"/>
                    <w:rPr>
                      <w:rFonts w:ascii="黑体" w:hAnsi="黑体" w:eastAsia="黑体"/>
                      <w:color w:val="000000"/>
                      <w:sz w:val="21"/>
                    </w:rPr>
                  </w:pPr>
                  <w:r>
                    <w:rPr>
                      <w:rFonts w:ascii="黑体" w:hAnsi="黑体" w:eastAsia="黑体"/>
                      <w:color w:val="000000"/>
                      <w:spacing w:val="-4"/>
                      <w:sz w:val="21"/>
                    </w:rPr>
                    <w:t>（九）</w:t>
                  </w:r>
                  <w:r>
                    <w:rPr>
                      <w:rFonts w:ascii="黑体" w:hAnsi="黑体" w:eastAsia="黑体" w:hint="eastAsia"/>
                      <w:b/>
                      <w:color w:val="000000"/>
                      <w:spacing w:val="-4"/>
                      <w:sz w:val="21"/>
                    </w:rPr>
                    <w:t>遗传性疾病，先天性畸形、变形或染色体异常</w:t>
                  </w:r>
                  <w:r>
                    <w:rPr>
                      <w:rFonts w:ascii="黑体" w:hAnsi="黑体" w:eastAsia="黑体"/>
                      <w:color w:val="000000"/>
                      <w:spacing w:val="-4"/>
                      <w:sz w:val="21"/>
                    </w:rPr>
                    <w:t>（</w:t>
                  </w:r>
                  <w:r>
                    <w:rPr>
                      <w:rFonts w:ascii="黑体" w:hAnsi="黑体" w:eastAsia="黑体"/>
                      <w:color w:val="000000"/>
                      <w:spacing w:val="-5"/>
                      <w:sz w:val="21"/>
                    </w:rPr>
                    <w:t>但符合本合同“附表一：重大疾</w:t>
                  </w:r>
                </w:p>
              </w:txbxContent>
            </v:textbox>
            <v:fill type="solid"/>
            <w10:wrap type="none"/>
          </v:shape>
        </w:pict>
      </w:r>
      <w:r>
        <w:rPr/>
        <w:pict>
          <v:shape style="position:absolute;margin-left:110.900002pt;margin-top:-184.820007pt;width:157.6pt;height:14.8pt;mso-position-horizontal-relative:page;mso-position-vertical-relative:paragraph;z-index:-17142784" type="#_x0000_t202" id="docshape51" filled="true" fillcolor="#c0c0c0" stroked="false">
            <v:textbox inset="0,0,0,0">
              <w:txbxContent>
                <w:p>
                  <w:pPr>
                    <w:pStyle w:val="BodyText"/>
                    <w:spacing w:before="23"/>
                    <w:ind w:left="0" w:right="-15"/>
                    <w:rPr>
                      <w:rFonts w:ascii="黑体" w:eastAsia="黑体"/>
                      <w:color w:val="000000"/>
                    </w:rPr>
                  </w:pPr>
                  <w:r>
                    <w:rPr>
                      <w:rFonts w:ascii="黑体" w:eastAsia="黑体"/>
                      <w:color w:val="000000"/>
                      <w:spacing w:val="-2"/>
                    </w:rPr>
                    <w:t>（八）</w:t>
                  </w:r>
                  <w:r>
                    <w:rPr>
                      <w:rFonts w:ascii="黑体" w:eastAsia="黑体"/>
                      <w:color w:val="000000"/>
                      <w:spacing w:val="-3"/>
                    </w:rPr>
                    <w:t>核爆炸、核辐射或核污染；</w:t>
                  </w:r>
                </w:p>
              </w:txbxContent>
            </v:textbox>
            <v:fill type="solid"/>
            <w10:wrap type="none"/>
          </v:shape>
        </w:pict>
      </w:r>
      <w:r>
        <w:rPr/>
        <w:pict>
          <v:shape style="position:absolute;margin-left:110.900002pt;margin-top:-200.420013pt;width:199.6pt;height:14.8pt;mso-position-horizontal-relative:page;mso-position-vertical-relative:paragraph;z-index:-17142272" type="#_x0000_t202" id="docshape52" filled="true" fillcolor="#c0c0c0" stroked="false">
            <v:textbox inset="0,0,0,0">
              <w:txbxContent>
                <w:p>
                  <w:pPr>
                    <w:pStyle w:val="BodyText"/>
                    <w:spacing w:before="22"/>
                    <w:ind w:left="0" w:right="-15"/>
                    <w:rPr>
                      <w:rFonts w:ascii="黑体" w:eastAsia="黑体"/>
                      <w:color w:val="000000"/>
                    </w:rPr>
                  </w:pPr>
                  <w:r>
                    <w:rPr>
                      <w:rFonts w:ascii="黑体" w:eastAsia="黑体"/>
                      <w:color w:val="000000"/>
                      <w:spacing w:val="-2"/>
                    </w:rPr>
                    <w:t>（七）</w:t>
                  </w:r>
                  <w:r>
                    <w:rPr>
                      <w:rFonts w:ascii="黑体" w:eastAsia="黑体"/>
                      <w:color w:val="000000"/>
                      <w:spacing w:val="-3"/>
                    </w:rPr>
                    <w:t>战争、军事冲突、暴乱或武装叛乱；</w:t>
                  </w:r>
                </w:p>
              </w:txbxContent>
            </v:textbox>
            <v:fill type="solid"/>
            <w10:wrap type="none"/>
          </v:shape>
        </w:pict>
      </w:r>
      <w:r>
        <w:rPr/>
        <w:pict>
          <v:shape style="position:absolute;margin-left:142.460007pt;margin-top:-216.020004pt;width:99.75pt;height:14.8pt;mso-position-horizontal-relative:page;mso-position-vertical-relative:paragraph;z-index:-17141760" type="#_x0000_t202" id="docshape53" filled="true" fillcolor="#c0c0c0" stroked="false">
            <v:textbox inset="0,0,0,0">
              <w:txbxContent>
                <w:p>
                  <w:pPr>
                    <w:pStyle w:val="BodyText"/>
                    <w:spacing w:before="23"/>
                    <w:ind w:left="0"/>
                    <w:rPr>
                      <w:rFonts w:ascii="黑体" w:eastAsia="黑体"/>
                      <w:color w:val="000000"/>
                    </w:rPr>
                  </w:pPr>
                  <w:r>
                    <w:rPr>
                      <w:rFonts w:ascii="黑体" w:eastAsia="黑体"/>
                      <w:color w:val="000000"/>
                      <w:spacing w:val="-2"/>
                    </w:rPr>
                    <w:t>中疾病定义的除外</w:t>
                  </w:r>
                  <w:r>
                    <w:rPr>
                      <w:rFonts w:ascii="黑体" w:eastAsia="黑体"/>
                      <w:color w:val="000000"/>
                      <w:spacing w:val="-113"/>
                    </w:rPr>
                    <w:t>）；</w:t>
                  </w:r>
                </w:p>
              </w:txbxContent>
            </v:textbox>
            <v:fill type="solid"/>
            <w10:wrap type="none"/>
          </v:shape>
        </w:pict>
      </w:r>
      <w:r>
        <w:rPr/>
        <w:pict>
          <v:shape style="position:absolute;margin-left:110.900002pt;margin-top:-231.62001pt;width:394.65pt;height:14.8pt;mso-position-horizontal-relative:page;mso-position-vertical-relative:paragraph;z-index:-17141248" type="#_x0000_t202" id="docshape54" filled="true" fillcolor="#c0c0c0" stroked="false">
            <v:textbox inset="0,0,0,0">
              <w:txbxContent>
                <w:p>
                  <w:pPr>
                    <w:spacing w:before="22"/>
                    <w:ind w:left="0" w:right="-15" w:firstLine="0"/>
                    <w:jc w:val="left"/>
                    <w:rPr>
                      <w:rFonts w:ascii="黑体" w:hAnsi="黑体" w:eastAsia="黑体"/>
                      <w:color w:val="000000"/>
                      <w:sz w:val="21"/>
                    </w:rPr>
                  </w:pPr>
                  <w:r>
                    <w:rPr>
                      <w:rFonts w:ascii="黑体" w:hAnsi="黑体" w:eastAsia="黑体"/>
                      <w:color w:val="000000"/>
                      <w:spacing w:val="-4"/>
                      <w:sz w:val="21"/>
                    </w:rPr>
                    <w:t>（六）被保险人</w:t>
                  </w:r>
                  <w:r>
                    <w:rPr>
                      <w:rFonts w:ascii="黑体" w:hAnsi="黑体" w:eastAsia="黑体" w:hint="eastAsia"/>
                      <w:b/>
                      <w:color w:val="000000"/>
                      <w:spacing w:val="-4"/>
                      <w:sz w:val="21"/>
                    </w:rPr>
                    <w:t>感染艾滋病病毒或患艾滋病</w:t>
                  </w:r>
                  <w:r>
                    <w:rPr>
                      <w:rFonts w:ascii="黑体" w:hAnsi="黑体" w:eastAsia="黑体"/>
                      <w:color w:val="000000"/>
                      <w:spacing w:val="-4"/>
                      <w:sz w:val="21"/>
                    </w:rPr>
                    <w:t>（</w:t>
                  </w:r>
                  <w:r>
                    <w:rPr>
                      <w:rFonts w:ascii="黑体" w:hAnsi="黑体" w:eastAsia="黑体"/>
                      <w:color w:val="000000"/>
                      <w:spacing w:val="-5"/>
                      <w:sz w:val="21"/>
                    </w:rPr>
                    <w:t>但符合本合同“附表一：重大疾病列表”</w:t>
                  </w:r>
                </w:p>
              </w:txbxContent>
            </v:textbox>
            <v:fill type="solid"/>
            <w10:wrap type="none"/>
          </v:shape>
        </w:pict>
      </w:r>
      <w:r>
        <w:rPr/>
        <w:pict>
          <v:shape style="position:absolute;margin-left:142.460007pt;margin-top:-247.220001pt;width:21pt;height:14.8pt;mso-position-horizontal-relative:page;mso-position-vertical-relative:paragraph;z-index:-17140736" type="#_x0000_t202" id="docshape55" filled="true" fillcolor="#c0c0c0" stroked="false">
            <v:textbox inset="0,0,0,0">
              <w:txbxContent>
                <w:p>
                  <w:pPr>
                    <w:pStyle w:val="BodyText"/>
                    <w:spacing w:before="23"/>
                    <w:ind w:left="0" w:right="-15"/>
                    <w:rPr>
                      <w:rFonts w:ascii="黑体" w:eastAsia="黑体"/>
                      <w:color w:val="000000"/>
                    </w:rPr>
                  </w:pPr>
                  <w:r>
                    <w:rPr>
                      <w:rFonts w:ascii="黑体" w:eastAsia="黑体"/>
                      <w:color w:val="000000"/>
                      <w:spacing w:val="-5"/>
                    </w:rPr>
                    <w:t>车；</w:t>
                  </w:r>
                </w:p>
              </w:txbxContent>
            </v:textbox>
            <v:fill type="solid"/>
            <w10:wrap type="none"/>
          </v:shape>
        </w:pict>
      </w:r>
      <w:r>
        <w:rPr/>
        <w:pict>
          <v:shape style="position:absolute;margin-left:110.900002pt;margin-top:-262.843994pt;width:389.5pt;height:14.8pt;mso-position-horizontal-relative:page;mso-position-vertical-relative:paragraph;z-index:-17140224" type="#_x0000_t202" id="docshape56" filled="true" fillcolor="#c0c0c0" stroked="false">
            <v:textbox inset="0,0,0,0">
              <w:txbxContent>
                <w:p>
                  <w:pPr>
                    <w:spacing w:before="23"/>
                    <w:ind w:left="0" w:right="-15" w:firstLine="0"/>
                    <w:jc w:val="left"/>
                    <w:rPr>
                      <w:rFonts w:ascii="黑体" w:eastAsia="黑体"/>
                      <w:color w:val="000000"/>
                      <w:sz w:val="21"/>
                    </w:rPr>
                  </w:pPr>
                  <w:r>
                    <w:rPr>
                      <w:rFonts w:ascii="黑体" w:eastAsia="黑体"/>
                      <w:color w:val="000000"/>
                      <w:spacing w:val="-2"/>
                      <w:sz w:val="21"/>
                    </w:rPr>
                    <w:t>（五）被保险人</w:t>
                  </w:r>
                  <w:r>
                    <w:rPr>
                      <w:rFonts w:ascii="黑体" w:eastAsia="黑体" w:hint="eastAsia"/>
                      <w:b/>
                      <w:color w:val="000000"/>
                      <w:spacing w:val="-2"/>
                      <w:sz w:val="21"/>
                    </w:rPr>
                    <w:t>酒后驾驶</w:t>
                  </w:r>
                  <w:r>
                    <w:rPr>
                      <w:rFonts w:ascii="黑体" w:eastAsia="黑体"/>
                      <w:color w:val="000000"/>
                      <w:spacing w:val="-2"/>
                      <w:sz w:val="21"/>
                    </w:rPr>
                    <w:t>，</w:t>
                  </w:r>
                  <w:r>
                    <w:rPr>
                      <w:rFonts w:ascii="黑体" w:eastAsia="黑体" w:hint="eastAsia"/>
                      <w:b/>
                      <w:color w:val="000000"/>
                      <w:spacing w:val="-2"/>
                      <w:sz w:val="21"/>
                    </w:rPr>
                    <w:t>无合法有效驾驶证驾驶</w:t>
                  </w:r>
                  <w:r>
                    <w:rPr>
                      <w:rFonts w:ascii="黑体" w:eastAsia="黑体"/>
                      <w:color w:val="000000"/>
                      <w:spacing w:val="-2"/>
                      <w:sz w:val="21"/>
                    </w:rPr>
                    <w:t>，或驾驶</w:t>
                  </w:r>
                  <w:r>
                    <w:rPr>
                      <w:rFonts w:ascii="黑体" w:eastAsia="黑体" w:hint="eastAsia"/>
                      <w:b/>
                      <w:color w:val="000000"/>
                      <w:spacing w:val="-2"/>
                      <w:sz w:val="21"/>
                    </w:rPr>
                    <w:t>无合法有效行驶证</w:t>
                  </w:r>
                  <w:r>
                    <w:rPr>
                      <w:rFonts w:ascii="黑体" w:eastAsia="黑体"/>
                      <w:color w:val="000000"/>
                      <w:spacing w:val="-5"/>
                      <w:sz w:val="21"/>
                    </w:rPr>
                    <w:t>的机动</w:t>
                  </w:r>
                </w:p>
              </w:txbxContent>
            </v:textbox>
            <v:fill type="solid"/>
            <w10:wrap type="none"/>
          </v:shape>
        </w:pict>
      </w:r>
      <w:r>
        <w:rPr/>
        <w:pict>
          <v:shape style="position:absolute;margin-left:110.900002pt;margin-top:-278.440002pt;width:189.15pt;height:14.8pt;mso-position-horizontal-relative:page;mso-position-vertical-relative:paragraph;z-index:-17139712" type="#_x0000_t202" id="docshape57" filled="true" fillcolor="#c0c0c0" stroked="false">
            <v:textbox inset="0,0,0,0">
              <w:txbxContent>
                <w:p>
                  <w:pPr>
                    <w:pStyle w:val="BodyText"/>
                    <w:spacing w:before="22"/>
                    <w:ind w:left="0" w:right="-15"/>
                    <w:rPr>
                      <w:rFonts w:ascii="黑体" w:eastAsia="黑体"/>
                      <w:color w:val="000000"/>
                    </w:rPr>
                  </w:pPr>
                  <w:r>
                    <w:rPr>
                      <w:rFonts w:ascii="黑体" w:eastAsia="黑体"/>
                      <w:color w:val="000000"/>
                      <w:spacing w:val="-2"/>
                    </w:rPr>
                    <w:t>（四）被保险人服用、吸食或注射</w:t>
                  </w:r>
                  <w:r>
                    <w:rPr>
                      <w:rFonts w:ascii="黑体" w:eastAsia="黑体" w:hint="eastAsia"/>
                      <w:b/>
                      <w:color w:val="000000"/>
                      <w:spacing w:val="-2"/>
                    </w:rPr>
                    <w:t>毒品</w:t>
                  </w:r>
                  <w:r>
                    <w:rPr>
                      <w:rFonts w:ascii="黑体" w:eastAsia="黑体"/>
                      <w:color w:val="000000"/>
                      <w:spacing w:val="-10"/>
                    </w:rPr>
                    <w:t>；</w:t>
                  </w:r>
                </w:p>
              </w:txbxContent>
            </v:textbox>
            <v:fill type="solid"/>
            <w10:wrap type="none"/>
          </v:shape>
        </w:pict>
      </w:r>
      <w:bookmarkStart w:name="_bookmark11" w:id="12"/>
      <w:bookmarkEnd w:id="12"/>
      <w:r>
        <w:rPr>
          <w:b w:val="0"/>
        </w:rPr>
      </w:r>
      <w:r>
        <w:rPr>
          <w:rFonts w:ascii="黑体" w:eastAsia="黑体" w:hint="eastAsia"/>
          <w:spacing w:val="-5"/>
        </w:rPr>
        <w:t>第十条 其他免责条款</w:t>
      </w:r>
    </w:p>
    <w:tbl>
      <w:tblPr>
        <w:tblW w:w="0" w:type="auto"/>
        <w:jc w:val="left"/>
        <w:tblInd w:w="2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20"/>
        <w:gridCol w:w="5358"/>
        <w:gridCol w:w="2535"/>
      </w:tblGrid>
      <w:tr>
        <w:trPr>
          <w:trHeight w:val="293" w:hRule="atLeast"/>
        </w:trPr>
        <w:tc>
          <w:tcPr>
            <w:tcW w:w="420" w:type="dxa"/>
            <w:tcBorders>
              <w:bottom w:val="single" w:sz="8" w:space="0" w:color="FFFFFF"/>
            </w:tcBorders>
          </w:tcPr>
          <w:p>
            <w:pPr>
              <w:pStyle w:val="TableParagraph"/>
              <w:spacing w:before="0"/>
              <w:ind w:left="0"/>
              <w:rPr>
                <w:rFonts w:ascii="Times New Roman"/>
                <w:sz w:val="20"/>
              </w:rPr>
            </w:pPr>
          </w:p>
        </w:tc>
        <w:tc>
          <w:tcPr>
            <w:tcW w:w="7893" w:type="dxa"/>
            <w:gridSpan w:val="2"/>
            <w:tcBorders>
              <w:bottom w:val="single" w:sz="8" w:space="0" w:color="FFFFFF"/>
            </w:tcBorders>
            <w:shd w:val="clear" w:color="auto" w:fill="C0C0C0"/>
          </w:tcPr>
          <w:p>
            <w:pPr>
              <w:pStyle w:val="TableParagraph"/>
              <w:spacing w:line="251" w:lineRule="exact" w:before="23"/>
              <w:ind w:left="-1" w:right="-15"/>
              <w:rPr>
                <w:rFonts w:ascii="黑体" w:hAnsi="黑体" w:eastAsia="黑体"/>
                <w:sz w:val="21"/>
              </w:rPr>
            </w:pPr>
            <w:r>
              <w:rPr>
                <w:rFonts w:ascii="黑体" w:hAnsi="黑体" w:eastAsia="黑体"/>
                <w:spacing w:val="-3"/>
                <w:sz w:val="21"/>
              </w:rPr>
              <w:t>除以上“第九条 责任免除”外，本合同中还有其他免除本公司责任的条款，详见本合</w:t>
            </w:r>
          </w:p>
        </w:tc>
      </w:tr>
      <w:tr>
        <w:trPr>
          <w:trHeight w:val="291" w:hRule="atLeast"/>
        </w:trPr>
        <w:tc>
          <w:tcPr>
            <w:tcW w:w="8313" w:type="dxa"/>
            <w:gridSpan w:val="3"/>
            <w:tcBorders>
              <w:top w:val="single" w:sz="8" w:space="0" w:color="FFFFFF"/>
              <w:bottom w:val="single" w:sz="8" w:space="0" w:color="FFFFFF"/>
            </w:tcBorders>
            <w:shd w:val="clear" w:color="auto" w:fill="C0C0C0"/>
          </w:tcPr>
          <w:p>
            <w:pPr>
              <w:pStyle w:val="TableParagraph"/>
              <w:spacing w:line="251" w:lineRule="exact" w:before="21"/>
              <w:ind w:left="0" w:right="-116"/>
              <w:rPr>
                <w:rFonts w:ascii="黑体" w:hAnsi="黑体" w:eastAsia="黑体"/>
                <w:sz w:val="21"/>
              </w:rPr>
            </w:pPr>
            <w:r>
              <w:rPr>
                <w:rFonts w:ascii="黑体" w:hAnsi="黑体" w:eastAsia="黑体"/>
                <w:spacing w:val="-3"/>
                <w:sz w:val="21"/>
              </w:rPr>
              <w:t>同“第三条 犹豫期</w:t>
            </w:r>
            <w:r>
              <w:rPr>
                <w:rFonts w:ascii="黑体" w:hAnsi="黑体" w:eastAsia="黑体"/>
                <w:spacing w:val="-14"/>
                <w:sz w:val="21"/>
              </w:rPr>
              <w:t>”“第四条 明确说明与如实告知</w:t>
            </w:r>
            <w:r>
              <w:rPr>
                <w:rFonts w:ascii="黑体" w:hAnsi="黑体" w:eastAsia="黑体"/>
                <w:spacing w:val="-20"/>
                <w:sz w:val="21"/>
              </w:rPr>
              <w:t>”“第七条 等待期”“第八条 保险责任”</w:t>
            </w:r>
          </w:p>
        </w:tc>
      </w:tr>
      <w:tr>
        <w:trPr>
          <w:trHeight w:val="291" w:hRule="atLeast"/>
        </w:trPr>
        <w:tc>
          <w:tcPr>
            <w:tcW w:w="8313" w:type="dxa"/>
            <w:gridSpan w:val="3"/>
            <w:tcBorders>
              <w:top w:val="single" w:sz="8" w:space="0" w:color="FFFFFF"/>
              <w:bottom w:val="single" w:sz="8" w:space="0" w:color="FFFFFF"/>
            </w:tcBorders>
            <w:shd w:val="clear" w:color="auto" w:fill="C0C0C0"/>
          </w:tcPr>
          <w:p>
            <w:pPr>
              <w:pStyle w:val="TableParagraph"/>
              <w:spacing w:line="251" w:lineRule="exact" w:before="21"/>
              <w:ind w:left="0" w:right="-15"/>
              <w:rPr>
                <w:rFonts w:ascii="黑体" w:hAnsi="黑体" w:eastAsia="黑体"/>
                <w:sz w:val="21"/>
              </w:rPr>
            </w:pPr>
            <w:r>
              <w:rPr>
                <w:rFonts w:ascii="黑体" w:hAnsi="黑体" w:eastAsia="黑体"/>
                <w:spacing w:val="-19"/>
                <w:sz w:val="21"/>
              </w:rPr>
              <w:t>“第十三条 宽限期”“第十四条 保险单贷款”“第十八条 年龄性别错误”“第二十条 合同</w:t>
            </w:r>
          </w:p>
        </w:tc>
      </w:tr>
      <w:tr>
        <w:trPr>
          <w:trHeight w:val="292" w:hRule="atLeast"/>
        </w:trPr>
        <w:tc>
          <w:tcPr>
            <w:tcW w:w="8313" w:type="dxa"/>
            <w:gridSpan w:val="3"/>
            <w:tcBorders>
              <w:top w:val="single" w:sz="8" w:space="0" w:color="FFFFFF"/>
              <w:bottom w:val="single" w:sz="8" w:space="0" w:color="FFFFFF"/>
            </w:tcBorders>
            <w:shd w:val="clear" w:color="auto" w:fill="C0C0C0"/>
          </w:tcPr>
          <w:p>
            <w:pPr>
              <w:pStyle w:val="TableParagraph"/>
              <w:spacing w:line="251" w:lineRule="exact" w:before="21"/>
              <w:ind w:left="0" w:right="-15"/>
              <w:rPr>
                <w:rFonts w:ascii="黑体" w:hAnsi="黑体" w:eastAsia="黑体"/>
                <w:sz w:val="21"/>
              </w:rPr>
            </w:pPr>
            <w:r>
              <w:rPr>
                <w:rFonts w:ascii="黑体" w:hAnsi="黑体" w:eastAsia="黑体"/>
                <w:sz w:val="21"/>
              </w:rPr>
              <w:t>中止与复效</w:t>
            </w:r>
            <w:r>
              <w:rPr>
                <w:rFonts w:ascii="黑体" w:hAnsi="黑体" w:eastAsia="黑体"/>
                <w:spacing w:val="-16"/>
                <w:sz w:val="21"/>
              </w:rPr>
              <w:t>”“第二十一条 合同解除</w:t>
            </w:r>
            <w:r>
              <w:rPr>
                <w:rFonts w:ascii="黑体" w:hAnsi="黑体" w:eastAsia="黑体"/>
                <w:spacing w:val="-14"/>
                <w:sz w:val="21"/>
              </w:rPr>
              <w:t>”“第二十二条 保险事故通知</w:t>
            </w:r>
            <w:r>
              <w:rPr>
                <w:rFonts w:ascii="黑体" w:hAnsi="黑体" w:eastAsia="黑体"/>
                <w:spacing w:val="-17"/>
                <w:sz w:val="21"/>
              </w:rPr>
              <w:t>”“第二十三条 保险金申</w:t>
            </w:r>
          </w:p>
        </w:tc>
      </w:tr>
      <w:tr>
        <w:trPr>
          <w:trHeight w:val="292" w:hRule="atLeast"/>
        </w:trPr>
        <w:tc>
          <w:tcPr>
            <w:tcW w:w="8313" w:type="dxa"/>
            <w:gridSpan w:val="3"/>
            <w:tcBorders>
              <w:top w:val="single" w:sz="8" w:space="0" w:color="FFFFFF"/>
              <w:bottom w:val="single" w:sz="8" w:space="0" w:color="FFFFFF"/>
            </w:tcBorders>
            <w:shd w:val="clear" w:color="auto" w:fill="C0C0C0"/>
          </w:tcPr>
          <w:p>
            <w:pPr>
              <w:pStyle w:val="TableParagraph"/>
              <w:spacing w:line="251" w:lineRule="exact" w:before="21"/>
              <w:ind w:left="0" w:right="-116"/>
              <w:rPr>
                <w:rFonts w:ascii="黑体" w:hAnsi="黑体" w:eastAsia="黑体"/>
                <w:sz w:val="21"/>
              </w:rPr>
            </w:pPr>
            <w:r>
              <w:rPr>
                <w:rFonts w:ascii="黑体" w:hAnsi="黑体" w:eastAsia="黑体"/>
                <w:spacing w:val="-14"/>
                <w:sz w:val="21"/>
              </w:rPr>
              <w:t>请”“第二十八条 释义”中背景突出显示的内容，以及“附表一：重大疾病列表</w:t>
            </w:r>
            <w:r>
              <w:rPr>
                <w:rFonts w:ascii="黑体" w:hAnsi="黑体" w:eastAsia="黑体"/>
                <w:spacing w:val="-25"/>
                <w:sz w:val="21"/>
              </w:rPr>
              <w:t>”“附表二：</w:t>
            </w:r>
          </w:p>
        </w:tc>
      </w:tr>
      <w:tr>
        <w:trPr>
          <w:trHeight w:val="291" w:hRule="atLeast"/>
        </w:trPr>
        <w:tc>
          <w:tcPr>
            <w:tcW w:w="8313" w:type="dxa"/>
            <w:gridSpan w:val="3"/>
            <w:tcBorders>
              <w:top w:val="single" w:sz="8" w:space="0" w:color="FFFFFF"/>
              <w:bottom w:val="single" w:sz="8" w:space="0" w:color="FFFFFF"/>
            </w:tcBorders>
            <w:shd w:val="clear" w:color="auto" w:fill="C0C0C0"/>
          </w:tcPr>
          <w:p>
            <w:pPr>
              <w:pStyle w:val="TableParagraph"/>
              <w:spacing w:line="251" w:lineRule="exact" w:before="21"/>
              <w:ind w:left="0"/>
              <w:rPr>
                <w:rFonts w:ascii="黑体" w:hAnsi="黑体" w:eastAsia="黑体"/>
                <w:sz w:val="21"/>
              </w:rPr>
            </w:pPr>
            <w:r>
              <w:rPr>
                <w:rFonts w:ascii="黑体" w:hAnsi="黑体" w:eastAsia="黑体"/>
                <w:spacing w:val="-21"/>
                <w:sz w:val="21"/>
              </w:rPr>
              <w:t>中症疾病列表”“附表三：轻症疾病列表”“附表四：特定疾病列表”“附表五：特定心脑血</w:t>
            </w:r>
          </w:p>
        </w:tc>
      </w:tr>
      <w:tr>
        <w:trPr>
          <w:trHeight w:val="294" w:hRule="atLeast"/>
        </w:trPr>
        <w:tc>
          <w:tcPr>
            <w:tcW w:w="5778" w:type="dxa"/>
            <w:gridSpan w:val="2"/>
            <w:tcBorders>
              <w:top w:val="single" w:sz="8" w:space="0" w:color="FFFFFF"/>
            </w:tcBorders>
            <w:shd w:val="clear" w:color="auto" w:fill="C0C0C0"/>
          </w:tcPr>
          <w:p>
            <w:pPr>
              <w:pStyle w:val="TableParagraph"/>
              <w:spacing w:line="252" w:lineRule="exact" w:before="21"/>
              <w:ind w:left="0" w:right="-15"/>
              <w:rPr>
                <w:rFonts w:ascii="黑体" w:hAnsi="黑体" w:eastAsia="黑体"/>
                <w:sz w:val="21"/>
              </w:rPr>
            </w:pPr>
            <w:r>
              <w:rPr>
                <w:rFonts w:ascii="黑体" w:hAnsi="黑体" w:eastAsia="黑体"/>
                <w:spacing w:val="-13"/>
                <w:sz w:val="21"/>
              </w:rPr>
              <w:t>管疾病列表”“附表六：术语释义”的释义中加粗显示的内容。</w:t>
            </w:r>
          </w:p>
        </w:tc>
        <w:tc>
          <w:tcPr>
            <w:tcW w:w="2535" w:type="dxa"/>
            <w:tcBorders>
              <w:top w:val="single" w:sz="8" w:space="0" w:color="FFFFFF"/>
            </w:tcBorders>
          </w:tcPr>
          <w:p>
            <w:pPr>
              <w:pStyle w:val="TableParagraph"/>
              <w:spacing w:before="0"/>
              <w:ind w:left="0"/>
              <w:rPr>
                <w:rFonts w:ascii="Times New Roman"/>
                <w:sz w:val="20"/>
              </w:rPr>
            </w:pPr>
          </w:p>
        </w:tc>
      </w:tr>
    </w:tbl>
    <w:p>
      <w:pPr>
        <w:pStyle w:val="BodyText"/>
        <w:spacing w:before="9"/>
        <w:ind w:left="0"/>
        <w:rPr>
          <w:rFonts w:ascii="黑体"/>
          <w:b/>
          <w:sz w:val="27"/>
        </w:rPr>
      </w:pPr>
    </w:p>
    <w:p>
      <w:pPr>
        <w:pStyle w:val="Heading5"/>
      </w:pPr>
      <w:r>
        <w:rPr>
          <w:spacing w:val="-2"/>
        </w:rPr>
        <w:t>第十一条 保险期间</w:t>
      </w:r>
    </w:p>
    <w:p>
      <w:pPr>
        <w:pStyle w:val="BodyText"/>
        <w:spacing w:before="43"/>
        <w:ind w:left="658"/>
      </w:pPr>
      <w:r>
        <w:rPr>
          <w:spacing w:val="-3"/>
        </w:rPr>
        <w:t>本合同保险期间由投保人和本公司约定并在保险单上载明。</w:t>
      </w:r>
    </w:p>
    <w:p>
      <w:pPr>
        <w:pStyle w:val="BodyText"/>
        <w:spacing w:before="9"/>
        <w:ind w:left="0"/>
        <w:rPr>
          <w:sz w:val="27"/>
        </w:rPr>
      </w:pPr>
    </w:p>
    <w:p>
      <w:pPr>
        <w:pStyle w:val="Heading5"/>
      </w:pPr>
      <w:r>
        <w:rPr>
          <w:spacing w:val="-3"/>
        </w:rPr>
        <w:t>第十二条 基本保险金额和保险费</w:t>
      </w:r>
    </w:p>
    <w:p>
      <w:pPr>
        <w:pStyle w:val="BodyText"/>
        <w:spacing w:line="278" w:lineRule="auto" w:before="43"/>
        <w:ind w:right="1551" w:firstLine="419"/>
      </w:pPr>
      <w:r>
        <w:rPr>
          <w:spacing w:val="-4"/>
        </w:rPr>
        <w:t>（一）本合同的基本保险金额由投保人和本公司双方协商约定并在保险单上载明。本合</w:t>
      </w:r>
      <w:r>
        <w:rPr>
          <w:spacing w:val="-2"/>
        </w:rPr>
        <w:t>同的保险费按照约定的基本保险金额和约定的费率标准确定并在保险单上载明。</w:t>
      </w:r>
    </w:p>
    <w:p>
      <w:pPr>
        <w:pStyle w:val="BodyText"/>
        <w:spacing w:line="278" w:lineRule="auto"/>
        <w:ind w:right="1445" w:firstLine="419"/>
      </w:pPr>
      <w:r>
        <w:rPr>
          <w:spacing w:val="-2"/>
        </w:rPr>
        <w:t>（二）交费方式、保险费约定交纳日和交费期间由投保人和本公司双方协商约定并在保</w:t>
      </w:r>
      <w:r>
        <w:rPr>
          <w:spacing w:val="-17"/>
        </w:rPr>
        <w:t>险单上载明。趸交保险费的，投保人应在合同成立时一次性交清保险费。分期支付保险费的，</w:t>
      </w:r>
      <w:r>
        <w:rPr>
          <w:spacing w:val="-2"/>
        </w:rPr>
        <w:t>在交纳首期保险费后，投保人应按保险费约定交纳日交纳其余各期的保险费。</w:t>
      </w:r>
    </w:p>
    <w:p>
      <w:pPr>
        <w:pStyle w:val="BodyText"/>
        <w:spacing w:before="4"/>
        <w:ind w:left="0"/>
        <w:rPr>
          <w:sz w:val="24"/>
        </w:rPr>
      </w:pPr>
    </w:p>
    <w:p>
      <w:pPr>
        <w:pStyle w:val="Heading5"/>
      </w:pPr>
      <w:r>
        <w:rPr>
          <w:spacing w:val="-3"/>
        </w:rPr>
        <w:t>第十三条 宽限期</w:t>
      </w:r>
    </w:p>
    <w:p>
      <w:pPr>
        <w:pStyle w:val="BodyText"/>
        <w:spacing w:line="278" w:lineRule="auto" w:before="43"/>
        <w:ind w:right="1445" w:firstLine="419"/>
      </w:pPr>
      <w:r>
        <w:rPr/>
        <w:drawing>
          <wp:anchor distT="0" distB="0" distL="0" distR="0" allowOverlap="1" layoutInCell="1" locked="0" behindDoc="1" simplePos="0" relativeHeight="486177280">
            <wp:simplePos x="0" y="0"/>
            <wp:positionH relativeFrom="page">
              <wp:posOffset>4886833</wp:posOffset>
            </wp:positionH>
            <wp:positionV relativeFrom="paragraph">
              <wp:posOffset>210947</wp:posOffset>
            </wp:positionV>
            <wp:extent cx="1533398" cy="187451"/>
            <wp:effectExtent l="0" t="0" r="0" b="0"/>
            <wp:wrapNone/>
            <wp:docPr id="9" name="image5.png"/>
            <wp:cNvGraphicFramePr>
              <a:graphicFrameLocks noChangeAspect="1"/>
            </wp:cNvGraphicFramePr>
            <a:graphic>
              <a:graphicData uri="http://schemas.openxmlformats.org/drawingml/2006/picture">
                <pic:pic>
                  <pic:nvPicPr>
                    <pic:cNvPr id="10" name="image5.png"/>
                    <pic:cNvPicPr/>
                  </pic:nvPicPr>
                  <pic:blipFill>
                    <a:blip r:embed="rId10" cstate="print"/>
                    <a:stretch>
                      <a:fillRect/>
                    </a:stretch>
                  </pic:blipFill>
                  <pic:spPr>
                    <a:xfrm>
                      <a:off x="0" y="0"/>
                      <a:ext cx="1533398" cy="187451"/>
                    </a:xfrm>
                    <a:prstGeom prst="rect">
                      <a:avLst/>
                    </a:prstGeom>
                  </pic:spPr>
                </pic:pic>
              </a:graphicData>
            </a:graphic>
          </wp:anchor>
        </w:drawing>
      </w:r>
      <w:r>
        <w:rPr/>
        <w:pict>
          <v:shape style="position:absolute;margin-left:89.903999pt;margin-top:32.210007pt;width:346.75pt;height:14.8pt;mso-position-horizontal-relative:page;mso-position-vertical-relative:paragraph;z-index:15760384" type="#_x0000_t202" id="docshape58" filled="true" fillcolor="#c0c0c0" stroked="false">
            <v:textbox inset="0,0,0,0">
              <w:txbxContent>
                <w:p>
                  <w:pPr>
                    <w:pStyle w:val="BodyText"/>
                    <w:spacing w:before="23"/>
                    <w:ind w:left="0" w:right="-15"/>
                    <w:rPr>
                      <w:color w:val="000000"/>
                    </w:rPr>
                  </w:pPr>
                  <w:r>
                    <w:rPr>
                      <w:color w:val="000000"/>
                      <w:spacing w:val="-3"/>
                    </w:rPr>
                    <w:t>本公司仍会承担保险责任，但在给付保险金时会扣减投保人欠交的保险费。</w:t>
                  </w:r>
                </w:p>
              </w:txbxContent>
            </v:textbox>
            <v:fill type="solid"/>
            <w10:wrap type="none"/>
          </v:shape>
        </w:pict>
      </w:r>
      <w:r>
        <w:rPr>
          <w:spacing w:val="-2"/>
        </w:rPr>
        <w:t>分期支付保险费的，投保人支付首期保险费后，除本合同另有约定外，若投保人到期未</w:t>
      </w:r>
      <w:r>
        <w:rPr>
          <w:spacing w:val="-6"/>
        </w:rPr>
        <w:t>支付保险费，自保险费约定交纳日的次日零时起 </w:t>
      </w:r>
      <w:r>
        <w:rPr>
          <w:spacing w:val="-4"/>
        </w:rPr>
        <w:t>60</w:t>
      </w:r>
      <w:r>
        <w:rPr>
          <w:spacing w:val="-10"/>
        </w:rPr>
        <w:t> 日为宽限期。宽限期内发生的保险事故，</w:t>
      </w:r>
    </w:p>
    <w:p>
      <w:pPr>
        <w:pStyle w:val="BodyText"/>
        <w:spacing w:before="9"/>
        <w:ind w:left="0"/>
        <w:rPr>
          <w:sz w:val="20"/>
        </w:rPr>
      </w:pPr>
      <w:r>
        <w:rPr/>
        <w:pict>
          <v:shape style="position:absolute;margin-left:110.900002pt;margin-top:14.479375pt;width:394.65pt;height:14.8pt;mso-position-horizontal-relative:page;mso-position-vertical-relative:paragraph;z-index:-15707648;mso-wrap-distance-left:0;mso-wrap-distance-right:0" type="#_x0000_t202" id="docshape59" filled="true" fillcolor="#c0c0c0" stroked="false">
            <v:textbox inset="0,0,0,0">
              <w:txbxContent>
                <w:p>
                  <w:pPr>
                    <w:pStyle w:val="BodyText"/>
                    <w:spacing w:before="22"/>
                    <w:ind w:left="0" w:right="-15"/>
                    <w:rPr>
                      <w:color w:val="000000"/>
                    </w:rPr>
                  </w:pPr>
                  <w:r>
                    <w:rPr>
                      <w:color w:val="000000"/>
                      <w:spacing w:val="-7"/>
                    </w:rPr>
                    <w:t>若投保人在本合同宽限期结束之后仍未交纳保险费，则本合同自宽限期结束次日零时起</w:t>
                  </w:r>
                </w:p>
              </w:txbxContent>
            </v:textbox>
            <v:fill type="solid"/>
            <w10:wrap type="topAndBottom"/>
          </v:shape>
        </w:pict>
      </w:r>
    </w:p>
    <w:p>
      <w:pPr>
        <w:pStyle w:val="BodyText"/>
        <w:rPr>
          <w:sz w:val="20"/>
        </w:rPr>
      </w:pPr>
      <w:r>
        <w:rPr>
          <w:sz w:val="20"/>
        </w:rPr>
        <w:pict>
          <v:shape style="width:283.75pt;height:14.8pt;mso-position-horizontal-relative:char;mso-position-vertical-relative:line" type="#_x0000_t202" id="docshape60" filled="true" fillcolor="#c0c0c0" stroked="false">
            <w10:anchorlock/>
            <v:textbox inset="0,0,0,0">
              <w:txbxContent>
                <w:p>
                  <w:pPr>
                    <w:pStyle w:val="BodyText"/>
                    <w:spacing w:before="23"/>
                    <w:ind w:left="0" w:right="-15"/>
                    <w:rPr>
                      <w:color w:val="000000"/>
                    </w:rPr>
                  </w:pPr>
                  <w:r>
                    <w:rPr>
                      <w:color w:val="000000"/>
                      <w:spacing w:val="-5"/>
                    </w:rPr>
                    <w:t>效力中止。在本合同效力中止期间，本公司不承担保险责任。</w:t>
                  </w:r>
                </w:p>
              </w:txbxContent>
            </v:textbox>
            <v:fill type="solid"/>
          </v:shape>
        </w:pict>
      </w:r>
      <w:r>
        <w:rPr>
          <w:sz w:val="20"/>
        </w:rPr>
      </w:r>
    </w:p>
    <w:p>
      <w:pPr>
        <w:spacing w:after="0"/>
        <w:rPr>
          <w:sz w:val="20"/>
        </w:rPr>
        <w:sectPr>
          <w:pgSz w:w="11910" w:h="16840"/>
          <w:pgMar w:header="0" w:footer="1005" w:top="1420" w:bottom="1200" w:left="1560" w:right="240"/>
        </w:sectPr>
      </w:pPr>
    </w:p>
    <w:p>
      <w:pPr>
        <w:pStyle w:val="Heading2"/>
        <w:ind w:left="3128"/>
        <w:jc w:val="left"/>
      </w:pPr>
      <w:bookmarkStart w:name="_bookmark15" w:id="13"/>
      <w:bookmarkEnd w:id="13"/>
      <w:r>
        <w:rPr>
          <w:b w:val="0"/>
        </w:rPr>
      </w:r>
      <w:r>
        <w:rPr>
          <w:spacing w:val="-3"/>
        </w:rPr>
        <w:t>第三部分 保</w:t>
      </w:r>
      <w:r>
        <w:rPr/>
        <w:t>险</w:t>
      </w:r>
      <w:r>
        <w:rPr/>
        <w:t>服</w:t>
      </w:r>
      <w:r>
        <w:rPr/>
        <w:t>务</w:t>
      </w:r>
      <w:r>
        <w:rPr/>
        <w:t>条</w:t>
      </w:r>
      <w:r>
        <w:rPr>
          <w:spacing w:val="-10"/>
        </w:rPr>
        <w:t>款</w:t>
      </w:r>
    </w:p>
    <w:p>
      <w:pPr>
        <w:pStyle w:val="BodyText"/>
        <w:spacing w:before="6"/>
        <w:ind w:left="0"/>
        <w:rPr>
          <w:b/>
          <w:sz w:val="26"/>
        </w:rPr>
      </w:pPr>
    </w:p>
    <w:p>
      <w:pPr>
        <w:pStyle w:val="Heading5"/>
        <w:jc w:val="both"/>
      </w:pPr>
      <w:r>
        <w:rPr>
          <w:spacing w:val="-2"/>
        </w:rPr>
        <w:t>第十四条 保险单贷款</w:t>
      </w:r>
    </w:p>
    <w:p>
      <w:pPr>
        <w:pStyle w:val="BodyText"/>
        <w:spacing w:line="278" w:lineRule="auto" w:before="43"/>
        <w:ind w:right="1548" w:firstLine="419"/>
        <w:jc w:val="both"/>
      </w:pPr>
      <w:r>
        <w:rPr/>
        <w:pict>
          <v:shape style="position:absolute;margin-left:89.903999pt;margin-top:109.369987pt;width:21pt;height:15.6pt;mso-position-horizontal-relative:page;mso-position-vertical-relative:paragraph;z-index:15760896" type="#_x0000_t202" id="docshape61" filled="true" fillcolor="#c0c0c0" stroked="false">
            <v:textbox inset="0,0,0,0">
              <w:txbxContent>
                <w:p>
                  <w:pPr>
                    <w:pStyle w:val="BodyText"/>
                    <w:spacing w:before="39"/>
                    <w:ind w:left="0" w:right="-15"/>
                    <w:rPr>
                      <w:color w:val="000000"/>
                    </w:rPr>
                  </w:pPr>
                  <w:r>
                    <w:rPr>
                      <w:color w:val="000000"/>
                      <w:spacing w:val="-5"/>
                    </w:rPr>
                    <w:t>止。</w:t>
                  </w:r>
                </w:p>
              </w:txbxContent>
            </v:textbox>
            <v:fill type="solid"/>
            <w10:wrap type="none"/>
          </v:shape>
        </w:pict>
      </w:r>
      <w:r>
        <w:rPr/>
        <w:pict>
          <v:shape style="position:absolute;margin-left:110.903999pt;margin-top:94.609985pt;width:394.65pt;height:14.8pt;mso-position-horizontal-relative:page;mso-position-vertical-relative:paragraph;z-index:15761408" type="#_x0000_t202" id="docshape62" filled="true" fillcolor="#c0c0c0" stroked="false">
            <v:textbox inset="0,0,0,0">
              <w:txbxContent>
                <w:p>
                  <w:pPr>
                    <w:pStyle w:val="BodyText"/>
                    <w:spacing w:before="22"/>
                    <w:ind w:left="-1" w:right="-15"/>
                    <w:rPr>
                      <w:color w:val="000000"/>
                    </w:rPr>
                  </w:pPr>
                  <w:r>
                    <w:rPr>
                      <w:color w:val="000000"/>
                      <w:spacing w:val="-6"/>
                    </w:rPr>
                    <w:t>当未还贷款本金及利息加上其他各项欠款达到本合同的现金价值时，本合同效力即行中</w:t>
                  </w:r>
                </w:p>
              </w:txbxContent>
            </v:textbox>
            <v:fill type="solid"/>
            <w10:wrap type="none"/>
          </v:shape>
        </w:pict>
      </w:r>
      <w:r>
        <w:rPr>
          <w:spacing w:val="-4"/>
        </w:rPr>
        <w:t>在本合同有效期内，经本公司同意，投保人可以凭保险单向本公司申请贷款。贷款金额</w:t>
      </w:r>
      <w:r>
        <w:rPr>
          <w:spacing w:val="-1"/>
        </w:rPr>
        <w:t>不得超过本合同现金价值扣除各项欠款及利息后余额的 </w:t>
      </w:r>
      <w:r>
        <w:rPr/>
        <w:t>80</w:t>
      </w:r>
      <w:r>
        <w:rPr>
          <w:spacing w:val="-1"/>
        </w:rPr>
        <w:t>％，每次贷款期限最长不超过 </w:t>
      </w:r>
      <w:r>
        <w:rPr/>
        <w:t>6</w:t>
      </w:r>
      <w:r>
        <w:rPr>
          <w:spacing w:val="-4"/>
        </w:rPr>
        <w:t>个月，贷款利率按本公司办理贷款时确定的利率执行，并在贷款协议中载明。贷款本息在贷</w:t>
      </w:r>
      <w:r>
        <w:rPr>
          <w:spacing w:val="-4"/>
        </w:rPr>
        <w:t>款到期时一并归还。若投保人到期未能足额偿还贷款本息，则投保人所欠的贷款本金及利息</w:t>
      </w:r>
      <w:r>
        <w:rPr>
          <w:spacing w:val="-4"/>
        </w:rPr>
        <w:t>将作为新的贷款本金计息，新的贷款利率按本公司届时新确定的利率执行，并在贷款偿还通</w:t>
      </w:r>
      <w:r>
        <w:rPr>
          <w:spacing w:val="-2"/>
        </w:rPr>
        <w:t>知书中载明。</w:t>
      </w:r>
    </w:p>
    <w:p>
      <w:pPr>
        <w:pStyle w:val="BodyText"/>
        <w:ind w:left="0"/>
        <w:rPr>
          <w:sz w:val="20"/>
        </w:rPr>
      </w:pPr>
    </w:p>
    <w:p>
      <w:pPr>
        <w:pStyle w:val="BodyText"/>
        <w:ind w:left="0"/>
        <w:rPr>
          <w:sz w:val="20"/>
        </w:rPr>
      </w:pPr>
    </w:p>
    <w:p>
      <w:pPr>
        <w:pStyle w:val="BodyText"/>
        <w:spacing w:before="6"/>
        <w:ind w:left="0"/>
        <w:rPr>
          <w:sz w:val="27"/>
        </w:rPr>
      </w:pPr>
    </w:p>
    <w:p>
      <w:pPr>
        <w:pStyle w:val="Heading5"/>
        <w:spacing w:before="71"/>
        <w:jc w:val="both"/>
      </w:pPr>
      <w:r>
        <w:rPr>
          <w:spacing w:val="-2"/>
        </w:rPr>
        <w:t>第十五条 合同内容变更</w:t>
      </w:r>
    </w:p>
    <w:p>
      <w:pPr>
        <w:pStyle w:val="BodyText"/>
        <w:spacing w:line="278" w:lineRule="auto" w:before="43"/>
        <w:ind w:right="1549" w:firstLine="419"/>
        <w:jc w:val="both"/>
      </w:pPr>
      <w:r>
        <w:rPr>
          <w:spacing w:val="-4"/>
        </w:rPr>
        <w:t>在本合同有效期内，经投保人和本公司协商，可以变更本合同的有关内容。变更本合同</w:t>
      </w:r>
      <w:r>
        <w:rPr>
          <w:spacing w:val="-4"/>
        </w:rPr>
        <w:t>的，应当由本公司在原保险单上批注或附贴批单，或由投保人和本公司订立变更的书面协议</w:t>
      </w:r>
      <w:r>
        <w:rPr>
          <w:spacing w:val="-2"/>
        </w:rPr>
        <w:t>后，变更方为生效。</w:t>
      </w:r>
    </w:p>
    <w:p>
      <w:pPr>
        <w:pStyle w:val="BodyText"/>
        <w:spacing w:line="278" w:lineRule="auto"/>
        <w:ind w:right="1443" w:firstLine="419"/>
      </w:pPr>
      <w:r>
        <w:rPr>
          <w:spacing w:val="-2"/>
        </w:rPr>
        <w:t>上述批注或附贴批单、变更的书面协议及本合同第一条中的“合法有效的声明”是本合</w:t>
      </w:r>
      <w:r>
        <w:rPr>
          <w:spacing w:val="-16"/>
        </w:rPr>
        <w:t>同的有效组成部分，本合同条款与批注或附贴批单、变更的书面协议及前述声明不一致之处，</w:t>
      </w:r>
      <w:r>
        <w:rPr>
          <w:spacing w:val="-2"/>
        </w:rPr>
        <w:t>以批注或附贴批单、变更的书面协议及前述声明为准；就同一内容或事项，有两份以上批注</w:t>
      </w:r>
      <w:r>
        <w:rPr>
          <w:spacing w:val="-2"/>
        </w:rPr>
        <w:t>或附贴批单、变更的书面协议及前述声明，且存在不一致之处的，以日期在后者为准；批注</w:t>
      </w:r>
      <w:r>
        <w:rPr>
          <w:spacing w:val="-2"/>
        </w:rPr>
        <w:t>或附贴批单、变更的书面协议及前述声明未尽之处，以本合同条款为准。</w:t>
      </w:r>
    </w:p>
    <w:p>
      <w:pPr>
        <w:pStyle w:val="BodyText"/>
        <w:spacing w:before="4"/>
        <w:ind w:left="0"/>
        <w:rPr>
          <w:sz w:val="24"/>
        </w:rPr>
      </w:pPr>
    </w:p>
    <w:p>
      <w:pPr>
        <w:spacing w:line="278" w:lineRule="auto" w:before="0"/>
        <w:ind w:left="658" w:right="7228" w:hanging="420"/>
        <w:jc w:val="left"/>
        <w:rPr>
          <w:sz w:val="21"/>
        </w:rPr>
      </w:pPr>
      <w:r>
        <w:rPr>
          <w:b/>
          <w:spacing w:val="-5"/>
          <w:sz w:val="21"/>
        </w:rPr>
        <w:t>第十六条 受益人指定和变更</w:t>
      </w:r>
      <w:r>
        <w:rPr>
          <w:spacing w:val="-2"/>
          <w:sz w:val="21"/>
        </w:rPr>
        <w:t>本合同的受益人包括：</w:t>
      </w:r>
    </w:p>
    <w:p>
      <w:pPr>
        <w:pStyle w:val="BodyText"/>
        <w:ind w:left="658"/>
      </w:pPr>
      <w:r>
        <w:rPr>
          <w:spacing w:val="-2"/>
        </w:rPr>
        <w:t>（一）</w:t>
      </w:r>
      <w:r>
        <w:rPr>
          <w:spacing w:val="-4"/>
        </w:rPr>
        <w:t>身故保险金受益人</w:t>
      </w:r>
    </w:p>
    <w:p>
      <w:pPr>
        <w:pStyle w:val="BodyText"/>
        <w:spacing w:line="278" w:lineRule="auto" w:before="43"/>
        <w:ind w:right="1549" w:firstLine="419"/>
        <w:jc w:val="both"/>
      </w:pPr>
      <w:r>
        <w:rPr>
          <w:spacing w:val="-6"/>
        </w:rPr>
        <w:t>被保险人或者投保人可指定一人或数人为身故保险金的受益人。身故保险金受益人为数</w:t>
      </w:r>
      <w:r>
        <w:rPr>
          <w:spacing w:val="-4"/>
        </w:rPr>
        <w:t>人时，被保险人或者投保人可以确定受益顺序和受益份额，未确定受益顺序的，身故保险金</w:t>
      </w:r>
      <w:r>
        <w:rPr>
          <w:spacing w:val="-4"/>
        </w:rPr>
        <w:t>受益人按照相同的顺序享有受益权；未确定受益份额的，身故保险金受益人按照相等份额享</w:t>
      </w:r>
      <w:r>
        <w:rPr>
          <w:spacing w:val="-2"/>
        </w:rPr>
        <w:t>有受益权。</w:t>
      </w:r>
    </w:p>
    <w:p>
      <w:pPr>
        <w:pStyle w:val="BodyText"/>
        <w:spacing w:line="278" w:lineRule="auto"/>
        <w:ind w:left="658" w:right="1462"/>
      </w:pPr>
      <w:r>
        <w:rPr>
          <w:spacing w:val="-2"/>
        </w:rPr>
        <w:t>被保险人为无民事行为能力人或限制民事行为能力人的，可以由其监护人指定受益人。</w:t>
      </w:r>
      <w:r>
        <w:rPr>
          <w:spacing w:val="-2"/>
        </w:rPr>
        <w:t>被保险人或者投保人可以变更身故保险金受益人，但需书面通知本公司。本公司收到变</w:t>
      </w:r>
    </w:p>
    <w:p>
      <w:pPr>
        <w:pStyle w:val="BodyText"/>
        <w:spacing w:line="278" w:lineRule="auto"/>
        <w:ind w:left="658" w:right="2297" w:hanging="420"/>
      </w:pPr>
      <w:r>
        <w:rPr>
          <w:spacing w:val="-2"/>
        </w:rPr>
        <w:t>更受益人的书面通知后，由本公司在保险单上或其他保险凭证上批注或附贴批单。</w:t>
      </w:r>
      <w:r>
        <w:rPr>
          <w:spacing w:val="-2"/>
        </w:rPr>
        <w:t>投保人在指定或变更受益人时，须经被保险人书面同意。</w:t>
      </w:r>
    </w:p>
    <w:p>
      <w:pPr>
        <w:pStyle w:val="BodyText"/>
        <w:spacing w:line="278" w:lineRule="auto"/>
        <w:ind w:right="1551" w:firstLine="419"/>
      </w:pPr>
      <w:r>
        <w:rPr>
          <w:spacing w:val="-4"/>
        </w:rPr>
        <w:t>被保险人身故，有下列情形之一的，保险金作为被保险人的遗产，由本公司依照国家现</w:t>
      </w:r>
      <w:r>
        <w:rPr>
          <w:spacing w:val="-2"/>
        </w:rPr>
        <w:t>行有效的法律规定履行给付保险金的义务：</w:t>
      </w:r>
    </w:p>
    <w:p>
      <w:pPr>
        <w:pStyle w:val="ListParagraph"/>
        <w:numPr>
          <w:ilvl w:val="0"/>
          <w:numId w:val="7"/>
        </w:numPr>
        <w:tabs>
          <w:tab w:pos="871" w:val="left" w:leader="none"/>
        </w:tabs>
        <w:spacing w:line="269" w:lineRule="exact" w:before="0" w:after="0"/>
        <w:ind w:left="870" w:right="0" w:hanging="213"/>
        <w:jc w:val="left"/>
        <w:rPr>
          <w:sz w:val="21"/>
        </w:rPr>
      </w:pPr>
      <w:r>
        <w:rPr>
          <w:spacing w:val="-3"/>
          <w:sz w:val="21"/>
        </w:rPr>
        <w:t>没有指定受益人，或者受益人指定不明无法确定的；</w:t>
      </w:r>
    </w:p>
    <w:p>
      <w:pPr>
        <w:pStyle w:val="ListParagraph"/>
        <w:numPr>
          <w:ilvl w:val="0"/>
          <w:numId w:val="7"/>
        </w:numPr>
        <w:tabs>
          <w:tab w:pos="871" w:val="left" w:leader="none"/>
        </w:tabs>
        <w:spacing w:line="240" w:lineRule="auto" w:before="43" w:after="0"/>
        <w:ind w:left="870" w:right="0" w:hanging="213"/>
        <w:jc w:val="left"/>
        <w:rPr>
          <w:sz w:val="21"/>
        </w:rPr>
      </w:pPr>
      <w:r>
        <w:rPr>
          <w:spacing w:val="-3"/>
          <w:sz w:val="21"/>
        </w:rPr>
        <w:t>受益人先于被保险人身故，没有其他受益人的；</w:t>
      </w:r>
    </w:p>
    <w:p>
      <w:pPr>
        <w:pStyle w:val="ListParagraph"/>
        <w:numPr>
          <w:ilvl w:val="0"/>
          <w:numId w:val="7"/>
        </w:numPr>
        <w:tabs>
          <w:tab w:pos="871" w:val="left" w:leader="none"/>
        </w:tabs>
        <w:spacing w:line="240" w:lineRule="auto" w:before="43" w:after="0"/>
        <w:ind w:left="870" w:right="0" w:hanging="213"/>
        <w:jc w:val="left"/>
        <w:rPr>
          <w:sz w:val="21"/>
        </w:rPr>
      </w:pPr>
      <w:r>
        <w:rPr>
          <w:spacing w:val="-3"/>
          <w:sz w:val="21"/>
        </w:rPr>
        <w:t>受益人依法丧失受益权或者放弃受益权，没有其他受益人的。</w:t>
      </w:r>
    </w:p>
    <w:p>
      <w:pPr>
        <w:pStyle w:val="BodyText"/>
        <w:spacing w:line="278" w:lineRule="auto" w:before="42"/>
        <w:ind w:right="1460" w:firstLine="419"/>
      </w:pPr>
      <w:r>
        <w:rPr>
          <w:spacing w:val="-2"/>
        </w:rPr>
        <w:t>受益人与被保险人在同一事故中身故，且不能确定身故顺序的，推定受益人身故在先。</w:t>
      </w:r>
      <w:r>
        <w:rPr>
          <w:spacing w:val="-2"/>
        </w:rPr>
        <w:t>受益人故意造成被保险人身故、伤残、疾病的，或者故意杀害被保险人未遂的，该受益人丧</w:t>
      </w:r>
      <w:r>
        <w:rPr>
          <w:spacing w:val="-2"/>
        </w:rPr>
        <w:t>失受益权。</w:t>
      </w:r>
    </w:p>
    <w:p>
      <w:pPr>
        <w:pStyle w:val="BodyText"/>
        <w:spacing w:line="269" w:lineRule="exact"/>
        <w:ind w:left="658"/>
      </w:pPr>
      <w:r>
        <w:rPr>
          <w:spacing w:val="-2"/>
        </w:rPr>
        <w:t>（二）</w:t>
      </w:r>
      <w:r>
        <w:rPr>
          <w:spacing w:val="-3"/>
        </w:rPr>
        <w:t>除合同另有约定外，本合同其他保险金的受益人均为被保险人本人。</w:t>
      </w:r>
    </w:p>
    <w:p>
      <w:pPr>
        <w:spacing w:after="0" w:line="269" w:lineRule="exact"/>
        <w:sectPr>
          <w:pgSz w:w="11910" w:h="16840"/>
          <w:pgMar w:header="0" w:footer="1005" w:top="1580" w:bottom="1200" w:left="1560" w:right="240"/>
        </w:sectPr>
      </w:pPr>
    </w:p>
    <w:p>
      <w:pPr>
        <w:pStyle w:val="Heading5"/>
        <w:spacing w:before="44"/>
      </w:pPr>
      <w:r>
        <w:rPr>
          <w:spacing w:val="-2"/>
        </w:rPr>
        <w:t>第十七条 联系方式变更</w:t>
      </w:r>
    </w:p>
    <w:p>
      <w:pPr>
        <w:pStyle w:val="BodyText"/>
        <w:spacing w:line="278" w:lineRule="auto" w:before="43"/>
        <w:ind w:right="1549" w:firstLine="419"/>
      </w:pPr>
      <w:r>
        <w:rPr>
          <w:spacing w:val="-4"/>
        </w:rPr>
        <w:t>投保人变更通讯地址或者电话等联系方式时，应及时通知本公司。投保人未及时通知本</w:t>
      </w:r>
      <w:r>
        <w:rPr>
          <w:spacing w:val="-2"/>
        </w:rPr>
        <w:t>公司的，本公司将按本合同载明的最后通讯地址发送有关通知，并视为已送达。</w:t>
      </w:r>
    </w:p>
    <w:p>
      <w:pPr>
        <w:pStyle w:val="BodyText"/>
        <w:spacing w:before="5"/>
        <w:ind w:left="0"/>
        <w:rPr>
          <w:sz w:val="24"/>
        </w:rPr>
      </w:pPr>
    </w:p>
    <w:p>
      <w:pPr>
        <w:pStyle w:val="Heading5"/>
      </w:pPr>
      <w:r>
        <w:rPr>
          <w:spacing w:val="-2"/>
        </w:rPr>
        <w:t>第十八条 年龄性别错误</w:t>
      </w:r>
    </w:p>
    <w:p>
      <w:pPr>
        <w:pStyle w:val="BodyText"/>
        <w:spacing w:line="278" w:lineRule="auto" w:before="43"/>
        <w:ind w:right="1549" w:firstLine="419"/>
      </w:pPr>
      <w:r>
        <w:rPr/>
        <w:pict>
          <v:shape style="position:absolute;margin-left:89.903999pt;margin-top:32.210011pt;width:415.65pt;height:92.6pt;mso-position-horizontal-relative:page;mso-position-vertical-relative:paragraph;z-index:15761920" type="#_x0000_t202" id="docshape63"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20"/>
                    <w:gridCol w:w="5255"/>
                    <w:gridCol w:w="2638"/>
                  </w:tblGrid>
                  <w:tr>
                    <w:trPr>
                      <w:trHeight w:val="293" w:hRule="atLeast"/>
                    </w:trPr>
                    <w:tc>
                      <w:tcPr>
                        <w:tcW w:w="420" w:type="dxa"/>
                        <w:tcBorders>
                          <w:bottom w:val="single" w:sz="8" w:space="0" w:color="FFFFFF"/>
                        </w:tcBorders>
                      </w:tcPr>
                      <w:p>
                        <w:pPr>
                          <w:pStyle w:val="TableParagraph"/>
                          <w:spacing w:before="0"/>
                          <w:ind w:left="0"/>
                          <w:rPr>
                            <w:rFonts w:ascii="Times New Roman"/>
                            <w:sz w:val="20"/>
                          </w:rPr>
                        </w:pPr>
                      </w:p>
                    </w:tc>
                    <w:tc>
                      <w:tcPr>
                        <w:tcW w:w="7893" w:type="dxa"/>
                        <w:gridSpan w:val="2"/>
                        <w:tcBorders>
                          <w:bottom w:val="single" w:sz="8" w:space="0" w:color="FFFFFF"/>
                        </w:tcBorders>
                        <w:shd w:val="clear" w:color="auto" w:fill="C0C0C0"/>
                      </w:tcPr>
                      <w:p>
                        <w:pPr>
                          <w:pStyle w:val="TableParagraph"/>
                          <w:spacing w:line="251" w:lineRule="exact" w:before="23"/>
                          <w:ind w:left="-1" w:right="-15"/>
                          <w:rPr>
                            <w:sz w:val="21"/>
                          </w:rPr>
                        </w:pPr>
                        <w:r>
                          <w:rPr>
                            <w:spacing w:val="-4"/>
                            <w:sz w:val="21"/>
                          </w:rPr>
                          <w:t>（一）</w:t>
                        </w:r>
                        <w:r>
                          <w:rPr>
                            <w:spacing w:val="-5"/>
                            <w:sz w:val="21"/>
                          </w:rPr>
                          <w:t>若投保人申报的被保险人年龄不真实，并且其真实年龄不符合本合同约定投保年</w:t>
                        </w:r>
                      </w:p>
                    </w:tc>
                  </w:tr>
                  <w:tr>
                    <w:trPr>
                      <w:trHeight w:val="291" w:hRule="atLeast"/>
                    </w:trPr>
                    <w:tc>
                      <w:tcPr>
                        <w:tcW w:w="8313" w:type="dxa"/>
                        <w:gridSpan w:val="3"/>
                        <w:tcBorders>
                          <w:top w:val="single" w:sz="8" w:space="0" w:color="FFFFFF"/>
                          <w:bottom w:val="single" w:sz="8" w:space="0" w:color="FFFFFF"/>
                        </w:tcBorders>
                        <w:shd w:val="clear" w:color="auto" w:fill="C0C0C0"/>
                      </w:tcPr>
                      <w:p>
                        <w:pPr>
                          <w:pStyle w:val="TableParagraph"/>
                          <w:spacing w:line="251" w:lineRule="exact" w:before="21"/>
                          <w:ind w:left="0"/>
                          <w:rPr>
                            <w:sz w:val="21"/>
                          </w:rPr>
                        </w:pPr>
                        <w:r>
                          <w:rPr>
                            <w:spacing w:val="-18"/>
                            <w:sz w:val="21"/>
                          </w:rPr>
                          <w:t>龄限制的，本公司有权解除合同。对于解除合同的，本公司向投保人退还本合同的现金价值</w:t>
                        </w:r>
                      </w:p>
                    </w:tc>
                  </w:tr>
                  <w:tr>
                    <w:trPr>
                      <w:trHeight w:val="292" w:hRule="atLeast"/>
                    </w:trPr>
                    <w:tc>
                      <w:tcPr>
                        <w:tcW w:w="420" w:type="dxa"/>
                        <w:tcBorders>
                          <w:top w:val="single" w:sz="8" w:space="0" w:color="FFFFFF"/>
                          <w:bottom w:val="single" w:sz="8" w:space="0" w:color="FFFFFF"/>
                        </w:tcBorders>
                      </w:tcPr>
                      <w:p>
                        <w:pPr>
                          <w:pStyle w:val="TableParagraph"/>
                          <w:spacing w:before="0"/>
                          <w:ind w:left="0"/>
                          <w:rPr>
                            <w:rFonts w:ascii="Times New Roman"/>
                            <w:sz w:val="20"/>
                          </w:rPr>
                        </w:pPr>
                      </w:p>
                    </w:tc>
                    <w:tc>
                      <w:tcPr>
                        <w:tcW w:w="7893" w:type="dxa"/>
                        <w:gridSpan w:val="2"/>
                        <w:tcBorders>
                          <w:top w:val="single" w:sz="8" w:space="0" w:color="FFFFFF"/>
                          <w:bottom w:val="single" w:sz="8" w:space="0" w:color="FFFFFF"/>
                        </w:tcBorders>
                        <w:shd w:val="clear" w:color="auto" w:fill="C0C0C0"/>
                      </w:tcPr>
                      <w:p>
                        <w:pPr>
                          <w:pStyle w:val="TableParagraph"/>
                          <w:spacing w:line="251" w:lineRule="exact" w:before="21"/>
                          <w:ind w:left="-1" w:right="-15"/>
                          <w:rPr>
                            <w:sz w:val="21"/>
                          </w:rPr>
                        </w:pPr>
                        <w:r>
                          <w:rPr>
                            <w:spacing w:val="-4"/>
                            <w:sz w:val="21"/>
                          </w:rPr>
                          <w:t>（二）</w:t>
                        </w:r>
                        <w:r>
                          <w:rPr>
                            <w:spacing w:val="-5"/>
                            <w:sz w:val="21"/>
                          </w:rPr>
                          <w:t>若投保人申报的被保险人年龄或性别不真实，致使投保人实交保险费少于应交保</w:t>
                        </w:r>
                      </w:p>
                    </w:tc>
                  </w:tr>
                  <w:tr>
                    <w:trPr>
                      <w:trHeight w:val="291" w:hRule="atLeast"/>
                    </w:trPr>
                    <w:tc>
                      <w:tcPr>
                        <w:tcW w:w="8313" w:type="dxa"/>
                        <w:gridSpan w:val="3"/>
                        <w:tcBorders>
                          <w:top w:val="single" w:sz="8" w:space="0" w:color="FFFFFF"/>
                          <w:bottom w:val="single" w:sz="8" w:space="0" w:color="FFFFFF"/>
                        </w:tcBorders>
                        <w:shd w:val="clear" w:color="auto" w:fill="C0C0C0"/>
                      </w:tcPr>
                      <w:p>
                        <w:pPr>
                          <w:pStyle w:val="TableParagraph"/>
                          <w:spacing w:line="251" w:lineRule="exact" w:before="21"/>
                          <w:ind w:left="0" w:right="-116"/>
                          <w:rPr>
                            <w:sz w:val="21"/>
                          </w:rPr>
                        </w:pPr>
                        <w:r>
                          <w:rPr>
                            <w:spacing w:val="-15"/>
                            <w:sz w:val="21"/>
                          </w:rPr>
                          <w:t>险费的，本公司有权更正并要求投保人补交保险费。如已经发生保险事故，在给付保险金时，</w:t>
                        </w:r>
                      </w:p>
                    </w:tc>
                  </w:tr>
                  <w:tr>
                    <w:trPr>
                      <w:trHeight w:val="292" w:hRule="atLeast"/>
                    </w:trPr>
                    <w:tc>
                      <w:tcPr>
                        <w:tcW w:w="8313" w:type="dxa"/>
                        <w:gridSpan w:val="3"/>
                        <w:tcBorders>
                          <w:top w:val="single" w:sz="8" w:space="0" w:color="FFFFFF"/>
                          <w:bottom w:val="single" w:sz="8" w:space="0" w:color="FFFFFF"/>
                        </w:tcBorders>
                        <w:shd w:val="clear" w:color="auto" w:fill="C0C0C0"/>
                      </w:tcPr>
                      <w:p>
                        <w:pPr>
                          <w:pStyle w:val="TableParagraph"/>
                          <w:spacing w:line="251" w:lineRule="exact" w:before="21"/>
                          <w:ind w:left="0" w:right="-15"/>
                          <w:rPr>
                            <w:sz w:val="21"/>
                          </w:rPr>
                        </w:pPr>
                        <w:r>
                          <w:rPr>
                            <w:spacing w:val="-5"/>
                            <w:sz w:val="21"/>
                          </w:rPr>
                          <w:t>本公司按实交保险费与应交保险费的比例给付；如已发生保险事故，在投保人或豁免保险费</w:t>
                        </w:r>
                      </w:p>
                    </w:tc>
                  </w:tr>
                  <w:tr>
                    <w:trPr>
                      <w:trHeight w:val="293" w:hRule="atLeast"/>
                    </w:trPr>
                    <w:tc>
                      <w:tcPr>
                        <w:tcW w:w="5675" w:type="dxa"/>
                        <w:gridSpan w:val="2"/>
                        <w:tcBorders>
                          <w:top w:val="single" w:sz="8" w:space="0" w:color="FFFFFF"/>
                        </w:tcBorders>
                        <w:shd w:val="clear" w:color="auto" w:fill="C0C0C0"/>
                      </w:tcPr>
                      <w:p>
                        <w:pPr>
                          <w:pStyle w:val="TableParagraph"/>
                          <w:spacing w:line="252" w:lineRule="exact" w:before="21"/>
                          <w:ind w:left="0" w:right="-15"/>
                          <w:rPr>
                            <w:sz w:val="21"/>
                          </w:rPr>
                        </w:pPr>
                        <w:r>
                          <w:rPr>
                            <w:spacing w:val="-3"/>
                            <w:sz w:val="21"/>
                          </w:rPr>
                          <w:t>申请人向本公司补交保险费后，本公司承担豁免保险费责任。</w:t>
                        </w:r>
                      </w:p>
                    </w:tc>
                    <w:tc>
                      <w:tcPr>
                        <w:tcW w:w="2638" w:type="dxa"/>
                        <w:tcBorders>
                          <w:top w:val="single" w:sz="8" w:space="0" w:color="FFFFFF"/>
                        </w:tcBorders>
                      </w:tcPr>
                      <w:p>
                        <w:pPr>
                          <w:pStyle w:val="TableParagraph"/>
                          <w:spacing w:before="0"/>
                          <w:ind w:left="0"/>
                          <w:rPr>
                            <w:rFonts w:ascii="Times New Roman"/>
                            <w:sz w:val="20"/>
                          </w:rPr>
                        </w:pPr>
                      </w:p>
                    </w:tc>
                  </w:tr>
                </w:tbl>
                <w:p>
                  <w:pPr>
                    <w:pStyle w:val="BodyText"/>
                    <w:ind w:left="0"/>
                  </w:pPr>
                </w:p>
              </w:txbxContent>
            </v:textbox>
            <w10:wrap type="none"/>
          </v:shape>
        </w:pict>
      </w:r>
      <w:r>
        <w:rPr>
          <w:spacing w:val="-4"/>
        </w:rPr>
        <w:t>被保险人的年龄以周岁计算。投保人在申请投保时，应将与有效身份证件相符的被保险</w:t>
      </w:r>
      <w:r>
        <w:rPr>
          <w:spacing w:val="-2"/>
        </w:rPr>
        <w:t>人的出生日期、年龄和性别在投保单上填明，如果发生错误按照下列方式办理：</w:t>
      </w:r>
    </w:p>
    <w:p>
      <w:pPr>
        <w:pStyle w:val="BodyText"/>
        <w:spacing w:before="4"/>
        <w:ind w:left="0"/>
        <w:rPr>
          <w:sz w:val="24"/>
        </w:rPr>
      </w:pPr>
    </w:p>
    <w:p>
      <w:pPr>
        <w:spacing w:before="0"/>
        <w:ind w:left="0" w:right="1446" w:firstLine="0"/>
        <w:jc w:val="right"/>
        <w:rPr>
          <w:sz w:val="21"/>
        </w:rPr>
      </w:pPr>
      <w:r>
        <w:rPr>
          <w:w w:val="100"/>
          <w:sz w:val="21"/>
        </w:rPr>
        <w:t>。</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10"/>
        <w:ind w:left="0"/>
        <w:rPr>
          <w:sz w:val="20"/>
        </w:rPr>
      </w:pPr>
    </w:p>
    <w:p>
      <w:pPr>
        <w:pStyle w:val="BodyText"/>
        <w:spacing w:line="278" w:lineRule="auto"/>
        <w:ind w:right="1549" w:firstLine="419"/>
      </w:pPr>
      <w:r>
        <w:rPr>
          <w:spacing w:val="-4"/>
        </w:rPr>
        <w:t>（三）若投保人申报的被保险人年龄或性别不真实，致使投保人实交保险费多于应交保</w:t>
      </w:r>
      <w:r>
        <w:rPr>
          <w:spacing w:val="-2"/>
        </w:rPr>
        <w:t>险费的，本公司将向投保人无息退还多收的保险费。</w:t>
      </w:r>
    </w:p>
    <w:p>
      <w:pPr>
        <w:pStyle w:val="BodyText"/>
        <w:spacing w:before="4"/>
        <w:ind w:left="0"/>
        <w:rPr>
          <w:sz w:val="24"/>
        </w:rPr>
      </w:pPr>
    </w:p>
    <w:p>
      <w:pPr>
        <w:pStyle w:val="Heading5"/>
      </w:pPr>
      <w:r>
        <w:rPr>
          <w:spacing w:val="-2"/>
        </w:rPr>
        <w:t>第十九条 未还款项</w:t>
      </w:r>
    </w:p>
    <w:p>
      <w:pPr>
        <w:pStyle w:val="BodyText"/>
        <w:spacing w:line="278" w:lineRule="auto" w:before="43"/>
        <w:ind w:right="1548" w:firstLine="419"/>
      </w:pPr>
      <w:r>
        <w:rPr>
          <w:spacing w:val="-4"/>
        </w:rPr>
        <w:t>本公司在给付各项保险金、退还现金价值或返还保险费时，若投保人有欠交的本合同保</w:t>
      </w:r>
      <w:r>
        <w:rPr>
          <w:spacing w:val="-2"/>
        </w:rPr>
        <w:t>险费或其他未还清款项，本公司将在扣除上述欠款及</w:t>
      </w:r>
      <w:r>
        <w:rPr>
          <w:b/>
          <w:spacing w:val="-2"/>
        </w:rPr>
        <w:t>应付利息</w:t>
      </w:r>
      <w:r>
        <w:rPr>
          <w:spacing w:val="-2"/>
        </w:rPr>
        <w:t>后给付。</w:t>
      </w:r>
    </w:p>
    <w:p>
      <w:pPr>
        <w:pStyle w:val="BodyText"/>
        <w:spacing w:before="5"/>
        <w:ind w:left="0"/>
        <w:rPr>
          <w:sz w:val="24"/>
        </w:rPr>
      </w:pPr>
    </w:p>
    <w:p>
      <w:pPr>
        <w:pStyle w:val="Heading5"/>
      </w:pPr>
      <w:r>
        <w:rPr>
          <w:spacing w:val="-2"/>
        </w:rPr>
        <w:t>第二十条 合同中止与复效</w:t>
      </w:r>
    </w:p>
    <w:p>
      <w:pPr>
        <w:pStyle w:val="BodyText"/>
        <w:spacing w:before="43"/>
        <w:ind w:left="658"/>
      </w:pPr>
      <w:r>
        <w:rPr>
          <w:color w:val="000000"/>
          <w:spacing w:val="-3"/>
          <w:shd w:fill="C0C0C0" w:color="auto" w:val="clear"/>
        </w:rPr>
        <w:t>在本合同效力中止期间，本公司不承担保险责任。</w:t>
      </w:r>
    </w:p>
    <w:p>
      <w:pPr>
        <w:pStyle w:val="BodyText"/>
        <w:spacing w:line="278" w:lineRule="auto" w:before="43"/>
        <w:ind w:right="1460" w:firstLine="419"/>
      </w:pPr>
      <w:r>
        <w:rPr>
          <w:spacing w:val="-6"/>
        </w:rPr>
        <w:t>本合同效力中止后 </w:t>
      </w:r>
      <w:r>
        <w:rPr/>
        <w:t>2</w:t>
      </w:r>
      <w:r>
        <w:rPr>
          <w:spacing w:val="-8"/>
        </w:rPr>
        <w:t> 年内，投保人可以申请恢复合同效力。投保人应填写复效申请书，</w:t>
      </w:r>
      <w:r>
        <w:rPr>
          <w:spacing w:val="-2"/>
        </w:rPr>
        <w:t>并提供被保险人的健康声明书、医院出具的体检报告书及其他相关证明文件。经本公司审核</w:t>
      </w:r>
      <w:r>
        <w:rPr>
          <w:spacing w:val="-2"/>
        </w:rPr>
        <w:t>同意，双方达成复效协议，自投保人补交保险费、应付利息及其他未还款项之日起，合同效</w:t>
      </w:r>
      <w:r>
        <w:rPr>
          <w:spacing w:val="-2"/>
        </w:rPr>
        <w:t>力恢复。应付利息按照合同中止期间内的本公司保险单贷款利率计算，但本合同另有约定的</w:t>
      </w:r>
      <w:r>
        <w:rPr>
          <w:spacing w:val="-4"/>
        </w:rPr>
        <w:t>除外。</w:t>
      </w:r>
    </w:p>
    <w:p>
      <w:pPr>
        <w:pStyle w:val="BodyText"/>
        <w:spacing w:line="278" w:lineRule="auto"/>
        <w:ind w:right="1460" w:firstLine="419"/>
      </w:pPr>
      <w:r>
        <w:rPr>
          <w:color w:val="000000"/>
          <w:spacing w:val="-4"/>
          <w:shd w:fill="C0C0C0" w:color="auto" w:val="clear"/>
        </w:rPr>
        <w:t>自本合同效力中止之日起满 </w:t>
      </w:r>
      <w:r>
        <w:rPr>
          <w:color w:val="000000"/>
          <w:shd w:fill="C0C0C0" w:color="auto" w:val="clear"/>
        </w:rPr>
        <w:t>2</w:t>
      </w:r>
      <w:r>
        <w:rPr>
          <w:color w:val="000000"/>
          <w:spacing w:val="-8"/>
          <w:shd w:fill="C0C0C0" w:color="auto" w:val="clear"/>
        </w:rPr>
        <w:t> 年投保人和本公司未达成协议的，本公司有权解除合同。</w:t>
      </w:r>
      <w:r>
        <w:rPr>
          <w:color w:val="000000"/>
          <w:spacing w:val="80"/>
          <w:w w:val="150"/>
          <w:shd w:fill="C0C0C0" w:color="auto" w:val="clear"/>
        </w:rPr>
        <w:t>                                             </w:t>
      </w:r>
      <w:r>
        <w:rPr>
          <w:color w:val="000000"/>
          <w:spacing w:val="-2"/>
          <w:shd w:fill="C0C0C0" w:color="auto" w:val="clear"/>
        </w:rPr>
        <w:t>对于解除合同的，本公司向投保人退还本合同效力中止时的现金价值。</w:t>
      </w:r>
    </w:p>
    <w:p>
      <w:pPr>
        <w:pStyle w:val="BodyText"/>
        <w:spacing w:before="3"/>
        <w:ind w:left="0"/>
        <w:rPr>
          <w:sz w:val="24"/>
        </w:rPr>
      </w:pPr>
    </w:p>
    <w:p>
      <w:pPr>
        <w:pStyle w:val="Heading5"/>
        <w:spacing w:before="1"/>
      </w:pPr>
      <w:bookmarkStart w:name="_bookmark23" w:id="14"/>
      <w:bookmarkEnd w:id="14"/>
      <w:r>
        <w:rPr>
          <w:b w:val="0"/>
        </w:rPr>
      </w:r>
      <w:r>
        <w:rPr>
          <w:spacing w:val="-2"/>
        </w:rPr>
        <w:t>第二十一条 合同解除</w:t>
      </w:r>
    </w:p>
    <w:p>
      <w:pPr>
        <w:pStyle w:val="BodyText"/>
        <w:spacing w:line="278" w:lineRule="auto" w:before="43"/>
        <w:ind w:right="1549" w:firstLine="419"/>
      </w:pPr>
      <w:r>
        <w:rPr>
          <w:spacing w:val="-8"/>
        </w:rPr>
        <w:t>如投保人在犹豫期后申请解除本合同，投保人应填写解除合同申请书并向本公司提供下</w:t>
      </w:r>
      <w:r>
        <w:rPr>
          <w:spacing w:val="-4"/>
        </w:rPr>
        <w:t>列资料：</w:t>
      </w:r>
    </w:p>
    <w:p>
      <w:pPr>
        <w:pStyle w:val="BodyText"/>
        <w:spacing w:line="269" w:lineRule="exact"/>
        <w:ind w:left="658"/>
      </w:pPr>
      <w:r>
        <w:rPr>
          <w:spacing w:val="-2"/>
        </w:rPr>
        <w:t>（一）</w:t>
      </w:r>
      <w:r>
        <w:rPr>
          <w:spacing w:val="-4"/>
        </w:rPr>
        <w:t>保险合同；</w:t>
      </w:r>
    </w:p>
    <w:p>
      <w:pPr>
        <w:pStyle w:val="BodyText"/>
        <w:spacing w:before="43"/>
        <w:ind w:left="658"/>
      </w:pPr>
      <w:r>
        <w:rPr>
          <w:spacing w:val="-2"/>
        </w:rPr>
        <w:t>（二）</w:t>
      </w:r>
      <w:r>
        <w:rPr>
          <w:spacing w:val="-4"/>
        </w:rPr>
        <w:t>投保人身份证明。</w:t>
      </w:r>
    </w:p>
    <w:p>
      <w:pPr>
        <w:pStyle w:val="BodyText"/>
        <w:spacing w:line="278" w:lineRule="auto" w:before="43"/>
        <w:ind w:right="1549" w:firstLine="419"/>
      </w:pPr>
      <w:r>
        <w:rPr>
          <w:spacing w:val="-4"/>
        </w:rPr>
        <w:t>自本公司收到解除合同申请书之日起，本合同终止。本公司在收到上述证明和资料之日</w:t>
      </w:r>
      <w:r>
        <w:rPr>
          <w:spacing w:val="-11"/>
        </w:rPr>
        <w:t>起 </w:t>
      </w:r>
      <w:r>
        <w:rPr/>
        <w:t>30</w:t>
      </w:r>
      <w:r>
        <w:rPr>
          <w:spacing w:val="-5"/>
        </w:rPr>
        <w:t> 日内向投保人退还本公司收到投保人解除本合同书面申请之日本合同的现金价值。</w:t>
      </w:r>
    </w:p>
    <w:p>
      <w:pPr>
        <w:pStyle w:val="BodyText"/>
        <w:ind w:left="658"/>
      </w:pPr>
      <w:r>
        <w:rPr>
          <w:color w:val="000000"/>
          <w:spacing w:val="-3"/>
          <w:shd w:fill="C0C0C0" w:color="auto" w:val="clear"/>
        </w:rPr>
        <w:t>投保人在犹豫期后解除合同会遭受一定损失。</w:t>
      </w:r>
    </w:p>
    <w:p>
      <w:pPr>
        <w:pStyle w:val="BodyText"/>
        <w:ind w:left="0"/>
        <w:rPr>
          <w:sz w:val="20"/>
        </w:rPr>
      </w:pPr>
    </w:p>
    <w:p>
      <w:pPr>
        <w:pStyle w:val="BodyText"/>
        <w:ind w:left="0"/>
        <w:rPr>
          <w:sz w:val="20"/>
        </w:rPr>
      </w:pPr>
    </w:p>
    <w:p>
      <w:pPr>
        <w:pStyle w:val="Heading2"/>
        <w:spacing w:before="132"/>
        <w:ind w:left="3128"/>
        <w:jc w:val="left"/>
      </w:pPr>
      <w:bookmarkStart w:name="_bookmark24" w:id="15"/>
      <w:bookmarkEnd w:id="15"/>
      <w:r>
        <w:rPr>
          <w:b w:val="0"/>
        </w:rPr>
      </w:r>
      <w:r>
        <w:rPr>
          <w:spacing w:val="-3"/>
        </w:rPr>
        <w:t>第四部分 保</w:t>
      </w:r>
      <w:r>
        <w:rPr/>
        <w:t>险</w:t>
      </w:r>
      <w:r>
        <w:rPr/>
        <w:t>理</w:t>
      </w:r>
      <w:r>
        <w:rPr/>
        <w:t>赔</w:t>
      </w:r>
      <w:r>
        <w:rPr/>
        <w:t>条</w:t>
      </w:r>
      <w:r>
        <w:rPr>
          <w:spacing w:val="-10"/>
        </w:rPr>
        <w:t>款</w:t>
      </w:r>
    </w:p>
    <w:p>
      <w:pPr>
        <w:pStyle w:val="BodyText"/>
        <w:spacing w:before="5"/>
        <w:ind w:left="0"/>
        <w:rPr>
          <w:b/>
          <w:sz w:val="26"/>
        </w:rPr>
      </w:pPr>
    </w:p>
    <w:p>
      <w:pPr>
        <w:pStyle w:val="Heading5"/>
        <w:spacing w:before="1"/>
      </w:pPr>
      <w:r>
        <w:rPr>
          <w:spacing w:val="-2"/>
        </w:rPr>
        <w:t>第二十二条 保险事故通知</w:t>
      </w:r>
    </w:p>
    <w:p>
      <w:pPr>
        <w:pStyle w:val="BodyText"/>
        <w:spacing w:before="43"/>
        <w:ind w:left="658"/>
      </w:pPr>
      <w:r>
        <w:rPr>
          <w:spacing w:val="-5"/>
        </w:rPr>
        <w:t>投保人、被保险人、受益人或其他有权领取保险金和申请豁免保险费的人应于知道保险</w:t>
      </w:r>
    </w:p>
    <w:p>
      <w:pPr>
        <w:spacing w:after="0"/>
        <w:sectPr>
          <w:pgSz w:w="11910" w:h="16840"/>
          <w:pgMar w:header="0" w:footer="1005" w:top="1400" w:bottom="1200" w:left="1560" w:right="240"/>
        </w:sectPr>
      </w:pPr>
    </w:p>
    <w:tbl>
      <w:tblPr>
        <w:tblW w:w="0" w:type="auto"/>
        <w:jc w:val="left"/>
        <w:tblInd w:w="2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483"/>
        <w:gridCol w:w="3241"/>
        <w:gridCol w:w="1590"/>
      </w:tblGrid>
      <w:tr>
        <w:trPr>
          <w:trHeight w:val="293" w:hRule="atLeast"/>
        </w:trPr>
        <w:tc>
          <w:tcPr>
            <w:tcW w:w="3483" w:type="dxa"/>
            <w:tcBorders>
              <w:bottom w:val="single" w:sz="8" w:space="0" w:color="FFFFFF"/>
            </w:tcBorders>
          </w:tcPr>
          <w:p>
            <w:pPr>
              <w:pStyle w:val="TableParagraph"/>
              <w:spacing w:line="251" w:lineRule="exact" w:before="22"/>
              <w:ind w:left="0" w:right="-15"/>
              <w:rPr>
                <w:sz w:val="21"/>
              </w:rPr>
            </w:pPr>
            <w:r>
              <w:rPr>
                <w:spacing w:val="-7"/>
                <w:sz w:val="21"/>
              </w:rPr>
              <w:t>事故发生之日起 </w:t>
            </w:r>
            <w:r>
              <w:rPr>
                <w:spacing w:val="-2"/>
                <w:sz w:val="21"/>
              </w:rPr>
              <w:t>10</w:t>
            </w:r>
            <w:r>
              <w:rPr>
                <w:spacing w:val="-9"/>
                <w:sz w:val="21"/>
              </w:rPr>
              <w:t> 日内通知本公司。</w:t>
            </w:r>
          </w:p>
        </w:tc>
        <w:tc>
          <w:tcPr>
            <w:tcW w:w="4831" w:type="dxa"/>
            <w:gridSpan w:val="2"/>
            <w:tcBorders>
              <w:bottom w:val="single" w:sz="8" w:space="0" w:color="FFFFFF"/>
            </w:tcBorders>
            <w:shd w:val="clear" w:color="auto" w:fill="C0C0C0"/>
          </w:tcPr>
          <w:p>
            <w:pPr>
              <w:pStyle w:val="TableParagraph"/>
              <w:spacing w:line="251" w:lineRule="exact" w:before="22"/>
              <w:ind w:left="-1" w:right="-15"/>
              <w:rPr>
                <w:sz w:val="21"/>
              </w:rPr>
            </w:pPr>
            <w:r>
              <w:rPr>
                <w:spacing w:val="-3"/>
                <w:sz w:val="21"/>
              </w:rPr>
              <w:t>投保人、被保险人、受益人或其他有权领取保险金和</w:t>
            </w:r>
          </w:p>
        </w:tc>
      </w:tr>
      <w:tr>
        <w:trPr>
          <w:trHeight w:val="292" w:hRule="atLeast"/>
        </w:trPr>
        <w:tc>
          <w:tcPr>
            <w:tcW w:w="8314" w:type="dxa"/>
            <w:gridSpan w:val="3"/>
            <w:tcBorders>
              <w:top w:val="single" w:sz="8" w:space="0" w:color="FFFFFF"/>
              <w:bottom w:val="single" w:sz="8" w:space="0" w:color="FFFFFF"/>
            </w:tcBorders>
            <w:shd w:val="clear" w:color="auto" w:fill="C0C0C0"/>
          </w:tcPr>
          <w:p>
            <w:pPr>
              <w:pStyle w:val="TableParagraph"/>
              <w:spacing w:line="251" w:lineRule="exact" w:before="21"/>
              <w:ind w:left="0" w:right="-15"/>
              <w:rPr>
                <w:sz w:val="21"/>
              </w:rPr>
            </w:pPr>
            <w:r>
              <w:rPr>
                <w:spacing w:val="-5"/>
                <w:sz w:val="21"/>
              </w:rPr>
              <w:t>申请豁免保险费的人故意或者因重大过失未及时通知，致使保险事故的性质、原因、损失程</w:t>
            </w:r>
          </w:p>
        </w:tc>
      </w:tr>
      <w:tr>
        <w:trPr>
          <w:trHeight w:val="292" w:hRule="atLeast"/>
        </w:trPr>
        <w:tc>
          <w:tcPr>
            <w:tcW w:w="8314" w:type="dxa"/>
            <w:gridSpan w:val="3"/>
            <w:tcBorders>
              <w:top w:val="single" w:sz="8" w:space="0" w:color="FFFFFF"/>
              <w:bottom w:val="single" w:sz="8" w:space="0" w:color="FFFFFF"/>
            </w:tcBorders>
            <w:shd w:val="clear" w:color="auto" w:fill="C0C0C0"/>
          </w:tcPr>
          <w:p>
            <w:pPr>
              <w:pStyle w:val="TableParagraph"/>
              <w:spacing w:line="251" w:lineRule="exact" w:before="21"/>
              <w:ind w:left="0"/>
              <w:rPr>
                <w:sz w:val="21"/>
              </w:rPr>
            </w:pPr>
            <w:r>
              <w:rPr>
                <w:spacing w:val="-5"/>
                <w:sz w:val="21"/>
              </w:rPr>
              <w:t>度等难以确定的，本公司对无法确定的部分，不承担给付保险金和豁免保险费的责任，但本</w:t>
            </w:r>
          </w:p>
        </w:tc>
      </w:tr>
      <w:tr>
        <w:trPr>
          <w:trHeight w:val="293" w:hRule="atLeast"/>
        </w:trPr>
        <w:tc>
          <w:tcPr>
            <w:tcW w:w="6724" w:type="dxa"/>
            <w:gridSpan w:val="2"/>
            <w:tcBorders>
              <w:top w:val="single" w:sz="8" w:space="0" w:color="FFFFFF"/>
            </w:tcBorders>
            <w:shd w:val="clear" w:color="auto" w:fill="C0C0C0"/>
          </w:tcPr>
          <w:p>
            <w:pPr>
              <w:pStyle w:val="TableParagraph"/>
              <w:spacing w:line="252" w:lineRule="exact" w:before="21"/>
              <w:ind w:left="0" w:right="-15"/>
              <w:rPr>
                <w:sz w:val="21"/>
              </w:rPr>
            </w:pPr>
            <w:r>
              <w:rPr>
                <w:spacing w:val="-3"/>
                <w:sz w:val="21"/>
              </w:rPr>
              <w:t>公司通过其他途径已经及时知道或者应当及时知道保险事故发生的除外。</w:t>
            </w:r>
          </w:p>
        </w:tc>
        <w:tc>
          <w:tcPr>
            <w:tcW w:w="1590" w:type="dxa"/>
            <w:tcBorders>
              <w:top w:val="single" w:sz="8" w:space="0" w:color="FFFFFF"/>
            </w:tcBorders>
          </w:tcPr>
          <w:p>
            <w:pPr>
              <w:pStyle w:val="TableParagraph"/>
              <w:spacing w:before="0"/>
              <w:ind w:left="0"/>
              <w:rPr>
                <w:rFonts w:ascii="Times New Roman"/>
                <w:sz w:val="20"/>
              </w:rPr>
            </w:pPr>
          </w:p>
        </w:tc>
      </w:tr>
    </w:tbl>
    <w:p>
      <w:pPr>
        <w:pStyle w:val="BodyText"/>
        <w:spacing w:before="12"/>
        <w:ind w:left="0"/>
      </w:pPr>
    </w:p>
    <w:p>
      <w:pPr>
        <w:pStyle w:val="Heading5"/>
        <w:spacing w:before="72"/>
      </w:pPr>
      <w:r>
        <w:rPr>
          <w:spacing w:val="-2"/>
        </w:rPr>
        <w:t>第二十三条 保险金申请</w:t>
      </w:r>
    </w:p>
    <w:p>
      <w:pPr>
        <w:pStyle w:val="BodyText"/>
        <w:spacing w:line="278" w:lineRule="auto" w:before="43"/>
        <w:ind w:right="1549" w:firstLine="419"/>
      </w:pPr>
      <w:r>
        <w:rPr/>
        <w:pict>
          <v:shape style="position:absolute;margin-left:89.903999pt;margin-top:32.209972pt;width:415.65pt;height:14.8pt;mso-position-horizontal-relative:page;mso-position-vertical-relative:paragraph;z-index:15762944" type="#_x0000_t202" id="docshape64" filled="true" fillcolor="#c0c0c0" stroked="false">
            <v:textbox inset="0,0,0,0">
              <w:txbxContent>
                <w:p>
                  <w:pPr>
                    <w:pStyle w:val="BodyText"/>
                    <w:spacing w:before="22"/>
                    <w:ind w:left="0" w:right="-15"/>
                    <w:rPr>
                      <w:color w:val="000000"/>
                    </w:rPr>
                  </w:pPr>
                  <w:r>
                    <w:rPr>
                      <w:color w:val="000000"/>
                      <w:spacing w:val="-1"/>
                    </w:rPr>
                    <w:t>无法核实该申请的真实性的，本公司对无法核实部分不承担给付保险金和豁免保险费的责</w:t>
                  </w:r>
                </w:p>
              </w:txbxContent>
            </v:textbox>
            <v:fill type="solid"/>
            <w10:wrap type="none"/>
          </v:shape>
        </w:pict>
      </w:r>
      <w:r>
        <w:rPr/>
        <w:pict>
          <v:shape style="position:absolute;margin-left:328.609985pt;margin-top:16.609974pt;width:176.95pt;height:14.8pt;mso-position-horizontal-relative:page;mso-position-vertical-relative:paragraph;z-index:-17135616" type="#_x0000_t202" id="docshape65" filled="true" fillcolor="#c0c0c0" stroked="false">
            <v:textbox inset="0,0,0,0">
              <w:txbxContent>
                <w:p>
                  <w:pPr>
                    <w:pStyle w:val="BodyText"/>
                    <w:spacing w:before="23"/>
                    <w:ind w:left="0" w:right="-15"/>
                    <w:rPr>
                      <w:color w:val="000000"/>
                    </w:rPr>
                  </w:pPr>
                  <w:r>
                    <w:rPr>
                      <w:color w:val="000000"/>
                      <w:spacing w:val="-5"/>
                    </w:rPr>
                    <w:t>申请人未能提供有关材料，导致本公司</w:t>
                  </w:r>
                </w:p>
              </w:txbxContent>
            </v:textbox>
            <v:fill type="solid"/>
            <w10:wrap type="none"/>
          </v:shape>
        </w:pict>
      </w:r>
      <w:r>
        <w:rPr>
          <w:spacing w:val="-2"/>
        </w:rPr>
        <w:t>受益人或其他有权领取保险金和申请豁免保险费的人（</w:t>
      </w:r>
      <w:r>
        <w:rPr>
          <w:spacing w:val="-14"/>
        </w:rPr>
        <w:t>以下简称“申请人”</w:t>
      </w:r>
      <w:r>
        <w:rPr>
          <w:spacing w:val="-3"/>
        </w:rPr>
        <w:t>）</w:t>
      </w:r>
      <w:r>
        <w:rPr>
          <w:spacing w:val="-2"/>
        </w:rPr>
        <w:t>向本公司</w:t>
      </w:r>
      <w:r>
        <w:rPr>
          <w:spacing w:val="-2"/>
        </w:rPr>
        <w:t>申请给付保险金和豁免保险费时，应提交以下材料。</w:t>
      </w:r>
    </w:p>
    <w:p>
      <w:pPr>
        <w:pStyle w:val="BodyText"/>
        <w:spacing w:before="8"/>
        <w:ind w:left="0"/>
        <w:rPr>
          <w:sz w:val="20"/>
        </w:rPr>
      </w:pPr>
      <w:r>
        <w:rPr/>
        <w:pict>
          <v:shape style="position:absolute;margin-left:89.903999pt;margin-top:14.4525pt;width:21pt;height:14.8pt;mso-position-horizontal-relative:page;mso-position-vertical-relative:paragraph;z-index:-15694848;mso-wrap-distance-left:0;mso-wrap-distance-right:0" type="#_x0000_t202" id="docshape66" filled="true" fillcolor="#c0c0c0" stroked="false">
            <v:textbox inset="0,0,0,0">
              <w:txbxContent>
                <w:p>
                  <w:pPr>
                    <w:pStyle w:val="BodyText"/>
                    <w:spacing w:before="23"/>
                    <w:ind w:left="0" w:right="-15"/>
                    <w:rPr>
                      <w:color w:val="000000"/>
                    </w:rPr>
                  </w:pPr>
                  <w:r>
                    <w:rPr>
                      <w:color w:val="000000"/>
                      <w:spacing w:val="-5"/>
                    </w:rPr>
                    <w:t>任。</w:t>
                  </w:r>
                </w:p>
              </w:txbxContent>
            </v:textbox>
            <v:fill type="solid"/>
            <w10:wrap type="topAndBottom"/>
          </v:shape>
        </w:pict>
      </w:r>
    </w:p>
    <w:p>
      <w:pPr>
        <w:pStyle w:val="BodyText"/>
        <w:spacing w:line="278" w:lineRule="auto" w:before="39"/>
        <w:ind w:right="1551" w:firstLine="419"/>
      </w:pPr>
      <w:r>
        <w:rPr>
          <w:spacing w:val="-4"/>
        </w:rPr>
        <w:t>（一）重大疾病保险金、中症疾病保险金、轻症疾病保险金、特定疾病保险金、豁免保</w:t>
      </w:r>
      <w:r>
        <w:rPr>
          <w:spacing w:val="-2"/>
        </w:rPr>
        <w:t>险费、特定心脑血管疾病保险金的申请</w:t>
      </w:r>
    </w:p>
    <w:p>
      <w:pPr>
        <w:pStyle w:val="BodyText"/>
        <w:spacing w:line="278" w:lineRule="auto"/>
        <w:ind w:right="1551" w:firstLine="419"/>
        <w:jc w:val="both"/>
      </w:pPr>
      <w:r>
        <w:rPr>
          <w:spacing w:val="-4"/>
        </w:rPr>
        <w:t>在申请重大疾病保险金、中症疾病保险金、轻症疾病保险金、特定疾病保险金、豁免保</w:t>
      </w:r>
      <w:r>
        <w:rPr>
          <w:spacing w:val="-4"/>
        </w:rPr>
        <w:t>险费、特定心脑血管疾病保险金时，申请人应填写保险金给付申请书，并提交下列证明和资</w:t>
      </w:r>
      <w:r>
        <w:rPr>
          <w:spacing w:val="-2"/>
        </w:rPr>
        <w:t>料向本公司申请给付：</w:t>
      </w:r>
    </w:p>
    <w:p>
      <w:pPr>
        <w:pStyle w:val="ListParagraph"/>
        <w:numPr>
          <w:ilvl w:val="0"/>
          <w:numId w:val="8"/>
        </w:numPr>
        <w:tabs>
          <w:tab w:pos="871" w:val="left" w:leader="none"/>
        </w:tabs>
        <w:spacing w:line="240" w:lineRule="auto" w:before="0" w:after="0"/>
        <w:ind w:left="870" w:right="0" w:hanging="213"/>
        <w:jc w:val="left"/>
        <w:rPr>
          <w:sz w:val="21"/>
        </w:rPr>
      </w:pPr>
      <w:r>
        <w:rPr>
          <w:spacing w:val="-4"/>
          <w:sz w:val="21"/>
        </w:rPr>
        <w:t>保险合同；</w:t>
      </w:r>
    </w:p>
    <w:p>
      <w:pPr>
        <w:pStyle w:val="ListParagraph"/>
        <w:numPr>
          <w:ilvl w:val="0"/>
          <w:numId w:val="8"/>
        </w:numPr>
        <w:tabs>
          <w:tab w:pos="871" w:val="left" w:leader="none"/>
        </w:tabs>
        <w:spacing w:line="240" w:lineRule="auto" w:before="43" w:after="0"/>
        <w:ind w:left="870" w:right="0" w:hanging="213"/>
        <w:jc w:val="left"/>
        <w:rPr>
          <w:sz w:val="21"/>
        </w:rPr>
      </w:pPr>
      <w:r>
        <w:rPr>
          <w:spacing w:val="-3"/>
          <w:sz w:val="21"/>
        </w:rPr>
        <w:t>申请人的有效身份证件；</w:t>
      </w:r>
    </w:p>
    <w:p>
      <w:pPr>
        <w:pStyle w:val="ListParagraph"/>
        <w:numPr>
          <w:ilvl w:val="0"/>
          <w:numId w:val="8"/>
        </w:numPr>
        <w:tabs>
          <w:tab w:pos="871" w:val="left" w:leader="none"/>
        </w:tabs>
        <w:spacing w:line="278" w:lineRule="auto" w:before="43" w:after="0"/>
        <w:ind w:left="658" w:right="1549" w:firstLine="0"/>
        <w:jc w:val="left"/>
        <w:rPr>
          <w:sz w:val="21"/>
        </w:rPr>
      </w:pPr>
      <w:r>
        <w:rPr>
          <w:spacing w:val="-4"/>
          <w:sz w:val="21"/>
        </w:rPr>
        <w:t>由本公司指定或认可的医院出具的疾病诊断证明书、病理报告、检查报告及有关病历</w:t>
      </w:r>
      <w:r>
        <w:rPr>
          <w:spacing w:val="-4"/>
          <w:sz w:val="21"/>
        </w:rPr>
        <w:t>资料；</w:t>
      </w:r>
    </w:p>
    <w:p>
      <w:pPr>
        <w:pStyle w:val="ListParagraph"/>
        <w:numPr>
          <w:ilvl w:val="0"/>
          <w:numId w:val="8"/>
        </w:numPr>
        <w:tabs>
          <w:tab w:pos="871" w:val="left" w:leader="none"/>
        </w:tabs>
        <w:spacing w:line="269" w:lineRule="exact" w:before="0" w:after="0"/>
        <w:ind w:left="870" w:right="0" w:hanging="213"/>
        <w:jc w:val="left"/>
        <w:rPr>
          <w:sz w:val="21"/>
        </w:rPr>
      </w:pPr>
      <w:r>
        <w:rPr>
          <w:spacing w:val="-3"/>
          <w:sz w:val="21"/>
        </w:rPr>
        <w:t>所能提供的与确认保险事故的性质、原因等有关的其他证明和资料；</w:t>
      </w:r>
    </w:p>
    <w:p>
      <w:pPr>
        <w:pStyle w:val="ListParagraph"/>
        <w:numPr>
          <w:ilvl w:val="0"/>
          <w:numId w:val="8"/>
        </w:numPr>
        <w:tabs>
          <w:tab w:pos="871" w:val="left" w:leader="none"/>
        </w:tabs>
        <w:spacing w:line="278" w:lineRule="auto" w:before="43" w:after="0"/>
        <w:ind w:left="658" w:right="1549" w:firstLine="0"/>
        <w:jc w:val="left"/>
        <w:rPr>
          <w:sz w:val="21"/>
        </w:rPr>
      </w:pPr>
      <w:r>
        <w:rPr>
          <w:spacing w:val="-4"/>
          <w:sz w:val="21"/>
        </w:rPr>
        <w:t>如申请人委托他人申请的，还应提供授权委托书原件、委托人和受托人的身份证明等</w:t>
      </w:r>
      <w:r>
        <w:rPr>
          <w:spacing w:val="-2"/>
          <w:sz w:val="21"/>
        </w:rPr>
        <w:t>相关证明文件。</w:t>
      </w:r>
    </w:p>
    <w:p>
      <w:pPr>
        <w:pStyle w:val="BodyText"/>
        <w:spacing w:line="269" w:lineRule="exact"/>
        <w:ind w:left="658"/>
      </w:pPr>
      <w:r>
        <w:rPr>
          <w:spacing w:val="-2"/>
        </w:rPr>
        <w:t>（二）</w:t>
      </w:r>
      <w:r>
        <w:rPr>
          <w:spacing w:val="-4"/>
        </w:rPr>
        <w:t>身故保险金的申请</w:t>
      </w:r>
    </w:p>
    <w:p>
      <w:pPr>
        <w:pStyle w:val="BodyText"/>
        <w:spacing w:line="278" w:lineRule="auto" w:before="43"/>
        <w:ind w:right="1549" w:firstLine="439"/>
      </w:pPr>
      <w:r>
        <w:rPr>
          <w:spacing w:val="-2"/>
        </w:rPr>
        <w:t>在申请身故保险金时，申请人应填写保险金给付申请书，并提交下列证明和资料向本</w:t>
      </w:r>
      <w:r>
        <w:rPr>
          <w:spacing w:val="-2"/>
        </w:rPr>
        <w:t>公司申请给付：</w:t>
      </w:r>
    </w:p>
    <w:p>
      <w:pPr>
        <w:pStyle w:val="ListParagraph"/>
        <w:numPr>
          <w:ilvl w:val="0"/>
          <w:numId w:val="9"/>
        </w:numPr>
        <w:tabs>
          <w:tab w:pos="871" w:val="left" w:leader="none"/>
        </w:tabs>
        <w:spacing w:line="240" w:lineRule="auto" w:before="0" w:after="0"/>
        <w:ind w:left="870" w:right="0" w:hanging="213"/>
        <w:jc w:val="left"/>
        <w:rPr>
          <w:sz w:val="21"/>
        </w:rPr>
      </w:pPr>
      <w:r>
        <w:rPr>
          <w:spacing w:val="-4"/>
          <w:sz w:val="21"/>
        </w:rPr>
        <w:t>保险合同；</w:t>
      </w:r>
    </w:p>
    <w:p>
      <w:pPr>
        <w:pStyle w:val="ListParagraph"/>
        <w:numPr>
          <w:ilvl w:val="0"/>
          <w:numId w:val="9"/>
        </w:numPr>
        <w:tabs>
          <w:tab w:pos="871" w:val="left" w:leader="none"/>
        </w:tabs>
        <w:spacing w:line="240" w:lineRule="auto" w:before="43" w:after="0"/>
        <w:ind w:left="870" w:right="0" w:hanging="213"/>
        <w:jc w:val="left"/>
        <w:rPr>
          <w:sz w:val="21"/>
        </w:rPr>
      </w:pPr>
      <w:r>
        <w:rPr>
          <w:spacing w:val="-3"/>
          <w:sz w:val="21"/>
        </w:rPr>
        <w:t>申请人的有效身份证件；</w:t>
      </w:r>
    </w:p>
    <w:p>
      <w:pPr>
        <w:pStyle w:val="ListParagraph"/>
        <w:numPr>
          <w:ilvl w:val="0"/>
          <w:numId w:val="9"/>
        </w:numPr>
        <w:tabs>
          <w:tab w:pos="871" w:val="left" w:leader="none"/>
        </w:tabs>
        <w:spacing w:line="278" w:lineRule="auto" w:before="43" w:after="0"/>
        <w:ind w:left="658" w:right="1550" w:firstLine="0"/>
        <w:jc w:val="left"/>
        <w:rPr>
          <w:sz w:val="21"/>
        </w:rPr>
      </w:pPr>
      <w:r>
        <w:rPr>
          <w:spacing w:val="-8"/>
          <w:sz w:val="21"/>
        </w:rPr>
        <w:t>国家卫生行政部门认定的医疗机构、公安部门或其他相关机构出具的被保险人的死亡</w:t>
      </w:r>
      <w:r>
        <w:rPr>
          <w:spacing w:val="-4"/>
          <w:sz w:val="21"/>
        </w:rPr>
        <w:t>证明；</w:t>
      </w:r>
    </w:p>
    <w:p>
      <w:pPr>
        <w:pStyle w:val="ListParagraph"/>
        <w:numPr>
          <w:ilvl w:val="0"/>
          <w:numId w:val="9"/>
        </w:numPr>
        <w:tabs>
          <w:tab w:pos="871" w:val="left" w:leader="none"/>
        </w:tabs>
        <w:spacing w:line="269" w:lineRule="exact" w:before="0" w:after="0"/>
        <w:ind w:left="870" w:right="0" w:hanging="213"/>
        <w:jc w:val="left"/>
        <w:rPr>
          <w:sz w:val="21"/>
        </w:rPr>
      </w:pPr>
      <w:r>
        <w:rPr>
          <w:spacing w:val="-3"/>
          <w:sz w:val="21"/>
        </w:rPr>
        <w:t>如被保险人被宣告死亡，须提供人民法院出具的宣告死亡证明材料；</w:t>
      </w:r>
    </w:p>
    <w:p>
      <w:pPr>
        <w:pStyle w:val="ListParagraph"/>
        <w:numPr>
          <w:ilvl w:val="0"/>
          <w:numId w:val="9"/>
        </w:numPr>
        <w:tabs>
          <w:tab w:pos="871" w:val="left" w:leader="none"/>
        </w:tabs>
        <w:spacing w:line="240" w:lineRule="auto" w:before="43" w:after="0"/>
        <w:ind w:left="870" w:right="0" w:hanging="213"/>
        <w:jc w:val="left"/>
        <w:rPr>
          <w:sz w:val="21"/>
        </w:rPr>
      </w:pPr>
      <w:r>
        <w:rPr>
          <w:spacing w:val="-3"/>
          <w:sz w:val="21"/>
        </w:rPr>
        <w:t>被保险人的户籍注销证明；</w:t>
      </w:r>
    </w:p>
    <w:p>
      <w:pPr>
        <w:pStyle w:val="ListParagraph"/>
        <w:numPr>
          <w:ilvl w:val="0"/>
          <w:numId w:val="9"/>
        </w:numPr>
        <w:tabs>
          <w:tab w:pos="871" w:val="left" w:leader="none"/>
        </w:tabs>
        <w:spacing w:line="240" w:lineRule="auto" w:before="43" w:after="0"/>
        <w:ind w:left="870" w:right="0" w:hanging="213"/>
        <w:jc w:val="left"/>
        <w:rPr>
          <w:sz w:val="21"/>
        </w:rPr>
      </w:pPr>
      <w:r>
        <w:rPr>
          <w:spacing w:val="-3"/>
          <w:sz w:val="21"/>
        </w:rPr>
        <w:t>所能提供的与确认保险事故的性质、原因等有关的其他证明和资料；</w:t>
      </w:r>
    </w:p>
    <w:p>
      <w:pPr>
        <w:pStyle w:val="ListParagraph"/>
        <w:numPr>
          <w:ilvl w:val="0"/>
          <w:numId w:val="9"/>
        </w:numPr>
        <w:tabs>
          <w:tab w:pos="871" w:val="left" w:leader="none"/>
        </w:tabs>
        <w:spacing w:line="278" w:lineRule="auto" w:before="43" w:after="0"/>
        <w:ind w:left="658" w:right="1549" w:firstLine="0"/>
        <w:jc w:val="left"/>
        <w:rPr>
          <w:sz w:val="21"/>
        </w:rPr>
      </w:pPr>
      <w:r>
        <w:rPr>
          <w:spacing w:val="-4"/>
          <w:sz w:val="21"/>
        </w:rPr>
        <w:t>如申请人委托他人申请的，还应提供授权委托书原件、委托人和受托人的身份证明等</w:t>
      </w:r>
      <w:r>
        <w:rPr>
          <w:spacing w:val="-2"/>
          <w:sz w:val="21"/>
        </w:rPr>
        <w:t>相关证明文件。</w:t>
      </w:r>
    </w:p>
    <w:p>
      <w:pPr>
        <w:pStyle w:val="BodyText"/>
        <w:spacing w:line="278" w:lineRule="auto"/>
        <w:ind w:right="1549" w:firstLine="419"/>
        <w:jc w:val="both"/>
      </w:pPr>
      <w:r>
        <w:rPr>
          <w:spacing w:val="-4"/>
        </w:rPr>
        <w:t>如果被保险人在人民法院宣告死亡后生还，本合同仍然在其被宣告死亡时终止。身故保</w:t>
      </w:r>
      <w:r>
        <w:rPr>
          <w:spacing w:val="-3"/>
        </w:rPr>
        <w:t>险金申请人应于知道或应当知道被保险人生还后 </w:t>
      </w:r>
      <w:r>
        <w:rPr>
          <w:spacing w:val="-2"/>
        </w:rPr>
        <w:t>30</w:t>
      </w:r>
      <w:r>
        <w:rPr>
          <w:spacing w:val="-7"/>
        </w:rPr>
        <w:t> 日内，退还本公司已支付的身故保险金</w:t>
      </w:r>
      <w:r>
        <w:rPr>
          <w:spacing w:val="-2"/>
        </w:rPr>
        <w:t>中超过被保险人被宣告死亡时的本合同的现金价值以上的部分。</w:t>
      </w:r>
    </w:p>
    <w:p>
      <w:pPr>
        <w:pStyle w:val="BodyText"/>
        <w:ind w:left="658"/>
      </w:pPr>
      <w:r>
        <w:rPr>
          <w:spacing w:val="-3"/>
        </w:rPr>
        <w:t>身故保险金作为被保险人遗产时，必须提供可证明合法继承权的相关权利文件。</w:t>
      </w:r>
    </w:p>
    <w:p>
      <w:pPr>
        <w:pStyle w:val="BodyText"/>
        <w:spacing w:before="43"/>
        <w:ind w:left="658"/>
      </w:pPr>
      <w:r>
        <w:rPr>
          <w:spacing w:val="-2"/>
        </w:rPr>
        <w:t>（三）</w:t>
      </w:r>
      <w:r>
        <w:rPr>
          <w:spacing w:val="-4"/>
        </w:rPr>
        <w:t>全残保险金的申请</w:t>
      </w:r>
    </w:p>
    <w:p>
      <w:pPr>
        <w:pStyle w:val="BodyText"/>
        <w:spacing w:line="278" w:lineRule="auto" w:before="43"/>
        <w:ind w:right="1549" w:firstLine="419"/>
      </w:pPr>
      <w:r>
        <w:rPr>
          <w:spacing w:val="-4"/>
        </w:rPr>
        <w:t>在申请全残保险金时，申请人应填写保险金给付申请书，并提交下列证明和资料向本公</w:t>
      </w:r>
      <w:r>
        <w:rPr>
          <w:spacing w:val="-2"/>
        </w:rPr>
        <w:t>司申请给付：</w:t>
      </w:r>
    </w:p>
    <w:p>
      <w:pPr>
        <w:pStyle w:val="ListParagraph"/>
        <w:numPr>
          <w:ilvl w:val="0"/>
          <w:numId w:val="10"/>
        </w:numPr>
        <w:tabs>
          <w:tab w:pos="871" w:val="left" w:leader="none"/>
        </w:tabs>
        <w:spacing w:line="269" w:lineRule="exact" w:before="0" w:after="0"/>
        <w:ind w:left="870" w:right="0" w:hanging="213"/>
        <w:jc w:val="left"/>
        <w:rPr>
          <w:sz w:val="21"/>
        </w:rPr>
      </w:pPr>
      <w:r>
        <w:rPr>
          <w:spacing w:val="-4"/>
          <w:sz w:val="21"/>
        </w:rPr>
        <w:t>保险合同；</w:t>
      </w:r>
    </w:p>
    <w:p>
      <w:pPr>
        <w:pStyle w:val="ListParagraph"/>
        <w:numPr>
          <w:ilvl w:val="0"/>
          <w:numId w:val="10"/>
        </w:numPr>
        <w:tabs>
          <w:tab w:pos="871" w:val="left" w:leader="none"/>
        </w:tabs>
        <w:spacing w:line="240" w:lineRule="auto" w:before="43" w:after="0"/>
        <w:ind w:left="870" w:right="0" w:hanging="213"/>
        <w:jc w:val="left"/>
        <w:rPr>
          <w:sz w:val="21"/>
        </w:rPr>
      </w:pPr>
      <w:r>
        <w:rPr>
          <w:spacing w:val="-3"/>
          <w:sz w:val="21"/>
        </w:rPr>
        <w:t>申请人的有效身份证件；</w:t>
      </w:r>
    </w:p>
    <w:p>
      <w:pPr>
        <w:pStyle w:val="ListParagraph"/>
        <w:numPr>
          <w:ilvl w:val="0"/>
          <w:numId w:val="10"/>
        </w:numPr>
        <w:tabs>
          <w:tab w:pos="871" w:val="left" w:leader="none"/>
        </w:tabs>
        <w:spacing w:line="240" w:lineRule="auto" w:before="43" w:after="0"/>
        <w:ind w:left="870" w:right="0" w:hanging="213"/>
        <w:jc w:val="left"/>
        <w:rPr>
          <w:sz w:val="21"/>
        </w:rPr>
      </w:pPr>
      <w:r>
        <w:rPr>
          <w:spacing w:val="-3"/>
          <w:sz w:val="21"/>
        </w:rPr>
        <w:t>国家有关机关认可或具有合法资质的伤残鉴定机构出具的全残鉴定证明；</w:t>
      </w:r>
    </w:p>
    <w:p>
      <w:pPr>
        <w:spacing w:after="0" w:line="240" w:lineRule="auto"/>
        <w:jc w:val="left"/>
        <w:rPr>
          <w:sz w:val="21"/>
        </w:rPr>
        <w:sectPr>
          <w:pgSz w:w="11910" w:h="16840"/>
          <w:pgMar w:header="0" w:footer="1005" w:top="1420" w:bottom="1200" w:left="1560" w:right="240"/>
        </w:sectPr>
      </w:pPr>
    </w:p>
    <w:p>
      <w:pPr>
        <w:pStyle w:val="ListParagraph"/>
        <w:numPr>
          <w:ilvl w:val="0"/>
          <w:numId w:val="10"/>
        </w:numPr>
        <w:tabs>
          <w:tab w:pos="871" w:val="left" w:leader="none"/>
        </w:tabs>
        <w:spacing w:line="240" w:lineRule="auto" w:before="44" w:after="0"/>
        <w:ind w:left="870" w:right="0" w:hanging="213"/>
        <w:jc w:val="left"/>
        <w:rPr>
          <w:sz w:val="21"/>
        </w:rPr>
      </w:pPr>
      <w:r>
        <w:rPr>
          <w:spacing w:val="-3"/>
          <w:sz w:val="21"/>
        </w:rPr>
        <w:t>所能提供的与确认保险事故的性质、原因等有关的其他证明和资料；</w:t>
      </w:r>
    </w:p>
    <w:p>
      <w:pPr>
        <w:pStyle w:val="ListParagraph"/>
        <w:numPr>
          <w:ilvl w:val="0"/>
          <w:numId w:val="10"/>
        </w:numPr>
        <w:tabs>
          <w:tab w:pos="871" w:val="left" w:leader="none"/>
        </w:tabs>
        <w:spacing w:line="278" w:lineRule="auto" w:before="43" w:after="0"/>
        <w:ind w:left="658" w:right="1549" w:firstLine="0"/>
        <w:jc w:val="left"/>
        <w:rPr>
          <w:sz w:val="21"/>
        </w:rPr>
      </w:pPr>
      <w:r>
        <w:rPr>
          <w:spacing w:val="-4"/>
          <w:sz w:val="21"/>
        </w:rPr>
        <w:t>如申请人委托他人申请的，还应提供授权委托书原件、委托人和受托人的身份证明等</w:t>
      </w:r>
      <w:r>
        <w:rPr>
          <w:spacing w:val="-2"/>
          <w:sz w:val="21"/>
        </w:rPr>
        <w:t>相关证明文件。</w:t>
      </w:r>
    </w:p>
    <w:p>
      <w:pPr>
        <w:pStyle w:val="BodyText"/>
        <w:spacing w:line="269" w:lineRule="exact"/>
        <w:ind w:left="658"/>
      </w:pPr>
      <w:r>
        <w:rPr>
          <w:spacing w:val="-2"/>
        </w:rPr>
        <w:t>（四）</w:t>
      </w:r>
      <w:r>
        <w:rPr>
          <w:spacing w:val="-3"/>
        </w:rPr>
        <w:t>“恶性肿瘤——重度”医疗津贴保险金的申请</w:t>
      </w:r>
    </w:p>
    <w:p>
      <w:pPr>
        <w:pStyle w:val="BodyText"/>
        <w:spacing w:line="278" w:lineRule="auto" w:before="43"/>
        <w:ind w:right="1552" w:firstLine="439"/>
      </w:pPr>
      <w:r>
        <w:rPr>
          <w:spacing w:val="-2"/>
        </w:rPr>
        <w:t>在申请“恶性肿瘤——重度”医疗津贴保险金时，申请人应填写保险金给付申请书，</w:t>
      </w:r>
      <w:r>
        <w:rPr>
          <w:spacing w:val="-2"/>
        </w:rPr>
        <w:t>并提交下列证明和资料向本公司申请给付：</w:t>
      </w:r>
    </w:p>
    <w:p>
      <w:pPr>
        <w:pStyle w:val="ListParagraph"/>
        <w:numPr>
          <w:ilvl w:val="0"/>
          <w:numId w:val="11"/>
        </w:numPr>
        <w:tabs>
          <w:tab w:pos="871" w:val="left" w:leader="none"/>
        </w:tabs>
        <w:spacing w:line="269" w:lineRule="exact" w:before="0" w:after="0"/>
        <w:ind w:left="870" w:right="0" w:hanging="213"/>
        <w:jc w:val="left"/>
        <w:rPr>
          <w:sz w:val="21"/>
        </w:rPr>
      </w:pPr>
      <w:r>
        <w:rPr>
          <w:spacing w:val="-4"/>
          <w:sz w:val="21"/>
        </w:rPr>
        <w:t>保险合同；</w:t>
      </w:r>
    </w:p>
    <w:p>
      <w:pPr>
        <w:pStyle w:val="ListParagraph"/>
        <w:numPr>
          <w:ilvl w:val="0"/>
          <w:numId w:val="11"/>
        </w:numPr>
        <w:tabs>
          <w:tab w:pos="871" w:val="left" w:leader="none"/>
        </w:tabs>
        <w:spacing w:line="240" w:lineRule="auto" w:before="43" w:after="0"/>
        <w:ind w:left="870" w:right="0" w:hanging="213"/>
        <w:jc w:val="left"/>
        <w:rPr>
          <w:sz w:val="21"/>
        </w:rPr>
      </w:pPr>
      <w:r>
        <w:rPr>
          <w:spacing w:val="-3"/>
          <w:sz w:val="21"/>
        </w:rPr>
        <w:t>申请人的有效身份证件；</w:t>
      </w:r>
    </w:p>
    <w:p>
      <w:pPr>
        <w:pStyle w:val="ListParagraph"/>
        <w:numPr>
          <w:ilvl w:val="0"/>
          <w:numId w:val="11"/>
        </w:numPr>
        <w:tabs>
          <w:tab w:pos="871" w:val="left" w:leader="none"/>
        </w:tabs>
        <w:spacing w:line="278" w:lineRule="auto" w:before="43" w:after="0"/>
        <w:ind w:left="658" w:right="1460" w:firstLine="0"/>
        <w:jc w:val="left"/>
        <w:rPr>
          <w:sz w:val="21"/>
        </w:rPr>
      </w:pPr>
      <w:r>
        <w:rPr>
          <w:spacing w:val="-2"/>
          <w:sz w:val="21"/>
        </w:rPr>
        <w:t>本公司指定或认可的医院出具的病历材料（包括门急诊病历、住院病历、出院小结、</w:t>
      </w:r>
      <w:r>
        <w:rPr>
          <w:spacing w:val="-2"/>
          <w:sz w:val="21"/>
        </w:rPr>
        <w:t>相关的检查报告、疾病诊断证明书及医疗费用凭证等）；</w:t>
      </w:r>
    </w:p>
    <w:p>
      <w:pPr>
        <w:pStyle w:val="ListParagraph"/>
        <w:numPr>
          <w:ilvl w:val="0"/>
          <w:numId w:val="11"/>
        </w:numPr>
        <w:tabs>
          <w:tab w:pos="871" w:val="left" w:leader="none"/>
        </w:tabs>
        <w:spacing w:line="269" w:lineRule="exact" w:before="0" w:after="0"/>
        <w:ind w:left="870" w:right="0" w:hanging="213"/>
        <w:jc w:val="left"/>
        <w:rPr>
          <w:sz w:val="21"/>
        </w:rPr>
      </w:pPr>
      <w:r>
        <w:rPr>
          <w:spacing w:val="-3"/>
          <w:sz w:val="21"/>
        </w:rPr>
        <w:t>所能提供的与确认保险事故的性质、原因、伤害程度等有关的其他证明和资料；</w:t>
      </w:r>
    </w:p>
    <w:p>
      <w:pPr>
        <w:pStyle w:val="ListParagraph"/>
        <w:numPr>
          <w:ilvl w:val="0"/>
          <w:numId w:val="11"/>
        </w:numPr>
        <w:tabs>
          <w:tab w:pos="871" w:val="left" w:leader="none"/>
        </w:tabs>
        <w:spacing w:line="278" w:lineRule="auto" w:before="43" w:after="0"/>
        <w:ind w:left="658" w:right="1549" w:firstLine="0"/>
        <w:jc w:val="left"/>
        <w:rPr>
          <w:sz w:val="21"/>
        </w:rPr>
      </w:pPr>
      <w:r>
        <w:rPr>
          <w:spacing w:val="-4"/>
          <w:sz w:val="21"/>
        </w:rPr>
        <w:t>如申请人委托他人申请的，还应提供授权委托书原件、委托人和受托人的身份证明等</w:t>
      </w:r>
      <w:r>
        <w:rPr>
          <w:spacing w:val="-2"/>
          <w:sz w:val="21"/>
        </w:rPr>
        <w:t>相关证明文件。</w:t>
      </w:r>
    </w:p>
    <w:p>
      <w:pPr>
        <w:pStyle w:val="BodyText"/>
        <w:spacing w:before="1"/>
        <w:ind w:left="658"/>
      </w:pPr>
      <w:r>
        <w:rPr>
          <w:spacing w:val="-3"/>
        </w:rPr>
        <w:t>以上证明和资料不完整的，本公司将及时一次性通知申请人补充提供有关证明和资料。</w:t>
      </w:r>
    </w:p>
    <w:p>
      <w:pPr>
        <w:pStyle w:val="BodyText"/>
        <w:spacing w:before="12"/>
        <w:ind w:left="0"/>
        <w:rPr>
          <w:sz w:val="29"/>
        </w:rPr>
      </w:pPr>
    </w:p>
    <w:p>
      <w:pPr>
        <w:pStyle w:val="Heading5"/>
      </w:pPr>
      <w:r>
        <w:rPr>
          <w:spacing w:val="-2"/>
        </w:rPr>
        <w:t>第二十四条 保险金给付</w:t>
      </w:r>
    </w:p>
    <w:p>
      <w:pPr>
        <w:pStyle w:val="BodyText"/>
        <w:spacing w:line="278" w:lineRule="auto" w:before="43"/>
        <w:ind w:right="1460" w:firstLine="419"/>
      </w:pPr>
      <w:r>
        <w:rPr>
          <w:spacing w:val="-2"/>
        </w:rPr>
        <w:t>本公司在收到申请人的保险金给付申请书及上述有关证明和资料后，将及时作出核定；</w:t>
      </w:r>
      <w:r>
        <w:rPr>
          <w:spacing w:val="-2"/>
        </w:rPr>
        <w:t>情形复杂的，在30日内作出核定。</w:t>
      </w:r>
    </w:p>
    <w:p>
      <w:pPr>
        <w:pStyle w:val="BodyText"/>
        <w:spacing w:line="278" w:lineRule="auto"/>
        <w:ind w:right="1549" w:firstLine="419"/>
        <w:jc w:val="both"/>
      </w:pPr>
      <w:r>
        <w:rPr>
          <w:spacing w:val="-4"/>
        </w:rPr>
        <w:t>本公司作出核定后，对确定属于保险责任的，本公司在与申请人达成给付保险金协议后</w:t>
      </w:r>
      <w:r>
        <w:rPr>
          <w:spacing w:val="-4"/>
        </w:rPr>
        <w:t> </w:t>
      </w:r>
      <w:r>
        <w:rPr>
          <w:spacing w:val="-2"/>
        </w:rPr>
        <w:t>10日内履行给付保险金责任；对不属于保险责任的，本公司自作出核定之日起3日内向申请</w:t>
      </w:r>
      <w:r>
        <w:rPr>
          <w:spacing w:val="-2"/>
        </w:rPr>
        <w:t>人发出拒绝给付保险金通知书并说明理由。</w:t>
      </w:r>
    </w:p>
    <w:p>
      <w:pPr>
        <w:pStyle w:val="BodyText"/>
        <w:spacing w:line="278" w:lineRule="auto"/>
        <w:ind w:right="1549" w:firstLine="419"/>
      </w:pPr>
      <w:r>
        <w:rPr>
          <w:spacing w:val="-4"/>
        </w:rPr>
        <w:t>与申请人达成给付保险金协议后10日内，未履行给付保险金责任的，本公司除支付保险</w:t>
      </w:r>
      <w:r>
        <w:rPr>
          <w:spacing w:val="-2"/>
        </w:rPr>
        <w:t>金外，还将赔偿申请人因此受到的损失。</w:t>
      </w:r>
    </w:p>
    <w:p>
      <w:pPr>
        <w:pStyle w:val="BodyText"/>
        <w:spacing w:line="278" w:lineRule="auto"/>
        <w:ind w:right="1549" w:firstLine="419"/>
        <w:jc w:val="both"/>
      </w:pPr>
      <w:r>
        <w:rPr>
          <w:spacing w:val="-2"/>
        </w:rPr>
        <w:t>本公司自收到申请人的保险金给付申请书及上述有关证明和资料之日起60</w:t>
      </w:r>
      <w:r>
        <w:rPr>
          <w:spacing w:val="-17"/>
        </w:rPr>
        <w:t>日内，对保险</w:t>
      </w:r>
      <w:r>
        <w:rPr>
          <w:spacing w:val="-4"/>
        </w:rPr>
        <w:t>金数额不能完全确定的，将根据已有证明和资料，按可以确定的数额先予支付，本公司最终</w:t>
      </w:r>
      <w:r>
        <w:rPr>
          <w:spacing w:val="-2"/>
        </w:rPr>
        <w:t>确定保险金数额后，给付相应的差额。</w:t>
      </w:r>
    </w:p>
    <w:p>
      <w:pPr>
        <w:pStyle w:val="BodyText"/>
        <w:spacing w:before="3"/>
        <w:ind w:left="0"/>
        <w:rPr>
          <w:sz w:val="24"/>
        </w:rPr>
      </w:pPr>
    </w:p>
    <w:p>
      <w:pPr>
        <w:pStyle w:val="Heading5"/>
      </w:pPr>
      <w:r>
        <w:rPr>
          <w:spacing w:val="-2"/>
        </w:rPr>
        <w:t>第二十五条 诉讼时效</w:t>
      </w:r>
    </w:p>
    <w:p>
      <w:pPr>
        <w:pStyle w:val="BodyText"/>
        <w:spacing w:line="278" w:lineRule="auto" w:before="43"/>
        <w:ind w:right="1549" w:firstLine="419"/>
      </w:pPr>
      <w:r>
        <w:rPr>
          <w:spacing w:val="-5"/>
        </w:rPr>
        <w:t>本合同的身故保险金受益人向本公司请求给付身故保险金的诉讼时效期间为五年，自其</w:t>
      </w:r>
      <w:r>
        <w:rPr>
          <w:spacing w:val="-2"/>
        </w:rPr>
        <w:t>知道或者应当知道保险事故发生之日起计算。</w:t>
      </w:r>
    </w:p>
    <w:p>
      <w:pPr>
        <w:pStyle w:val="BodyText"/>
        <w:spacing w:line="278" w:lineRule="auto"/>
        <w:ind w:right="1549" w:firstLine="419"/>
      </w:pPr>
      <w:r>
        <w:rPr>
          <w:spacing w:val="-5"/>
        </w:rPr>
        <w:t>本合同的其他保险金受益人向本公司请求给付其他保险金的诉讼时效期间为二年，自其</w:t>
      </w:r>
      <w:r>
        <w:rPr>
          <w:spacing w:val="-2"/>
        </w:rPr>
        <w:t>知道或者应当知道保险事故发生之日起计算。</w:t>
      </w:r>
    </w:p>
    <w:p>
      <w:pPr>
        <w:pStyle w:val="BodyText"/>
        <w:spacing w:before="4"/>
        <w:ind w:left="0"/>
        <w:rPr>
          <w:sz w:val="24"/>
        </w:rPr>
      </w:pPr>
    </w:p>
    <w:p>
      <w:pPr>
        <w:pStyle w:val="Heading5"/>
      </w:pPr>
      <w:r>
        <w:rPr>
          <w:spacing w:val="-2"/>
        </w:rPr>
        <w:t>第二十六条 争议处理</w:t>
      </w:r>
    </w:p>
    <w:p>
      <w:pPr>
        <w:pStyle w:val="BodyText"/>
        <w:spacing w:line="278" w:lineRule="auto" w:before="43"/>
        <w:ind w:right="1548" w:firstLine="419"/>
      </w:pPr>
      <w:r>
        <w:rPr>
          <w:spacing w:val="-4"/>
        </w:rPr>
        <w:t>因履行本合同发生的争议，由当事人协商解决，协商不成的，由当事人在本合同约定的</w:t>
      </w:r>
      <w:r>
        <w:rPr>
          <w:spacing w:val="-2"/>
        </w:rPr>
        <w:t>下列两种方式中选择一种：</w:t>
      </w:r>
    </w:p>
    <w:p>
      <w:pPr>
        <w:pStyle w:val="BodyText"/>
        <w:spacing w:line="269" w:lineRule="exact"/>
        <w:ind w:left="658"/>
      </w:pPr>
      <w:r>
        <w:rPr>
          <w:spacing w:val="-2"/>
        </w:rPr>
        <w:t>（一）</w:t>
      </w:r>
      <w:r>
        <w:rPr>
          <w:spacing w:val="-3"/>
        </w:rPr>
        <w:t>提交本合同约定的仲裁委员会仲裁；</w:t>
      </w:r>
    </w:p>
    <w:p>
      <w:pPr>
        <w:pStyle w:val="BodyText"/>
        <w:spacing w:before="44"/>
        <w:ind w:left="658"/>
      </w:pPr>
      <w:r>
        <w:rPr>
          <w:spacing w:val="-2"/>
        </w:rPr>
        <w:t>（二）</w:t>
      </w:r>
      <w:r>
        <w:rPr>
          <w:spacing w:val="-3"/>
        </w:rPr>
        <w:t>依法向人民法院起诉。</w:t>
      </w:r>
    </w:p>
    <w:p>
      <w:pPr>
        <w:pStyle w:val="BodyText"/>
        <w:spacing w:before="9"/>
        <w:ind w:left="0"/>
        <w:rPr>
          <w:sz w:val="27"/>
        </w:rPr>
      </w:pPr>
    </w:p>
    <w:p>
      <w:pPr>
        <w:pStyle w:val="Heading5"/>
      </w:pPr>
      <w:r>
        <w:rPr>
          <w:spacing w:val="-2"/>
        </w:rPr>
        <w:t>第二十七条 司法管辖</w:t>
      </w:r>
    </w:p>
    <w:p>
      <w:pPr>
        <w:pStyle w:val="BodyText"/>
        <w:spacing w:line="278" w:lineRule="auto" w:before="43"/>
        <w:ind w:right="1551" w:firstLine="419"/>
      </w:pPr>
      <w:r>
        <w:rPr>
          <w:w w:val="100"/>
        </w:rPr>
        <w:t>本合同受中华人民共和国司法管辖，适用中华人民共和国法律</w:t>
      </w:r>
      <w:r>
        <w:rPr>
          <w:spacing w:val="2"/>
          <w:w w:val="100"/>
        </w:rPr>
        <w:t>（</w:t>
      </w:r>
      <w:r>
        <w:rPr>
          <w:w w:val="100"/>
        </w:rPr>
        <w:t>不包括港澳台地区法律）。</w:t>
      </w:r>
    </w:p>
    <w:p>
      <w:pPr>
        <w:spacing w:after="0" w:line="278" w:lineRule="auto"/>
        <w:sectPr>
          <w:pgSz w:w="11910" w:h="16840"/>
          <w:pgMar w:header="0" w:footer="1005" w:top="1400" w:bottom="1200" w:left="1560" w:right="240"/>
        </w:sectPr>
      </w:pPr>
    </w:p>
    <w:p>
      <w:pPr>
        <w:pStyle w:val="Heading2"/>
        <w:spacing w:before="41"/>
        <w:ind w:right="2339"/>
      </w:pPr>
      <w:bookmarkStart w:name="_bookmark31" w:id="16"/>
      <w:bookmarkEnd w:id="16"/>
      <w:r>
        <w:rPr>
          <w:b w:val="0"/>
        </w:rPr>
      </w:r>
      <w:r>
        <w:rPr>
          <w:spacing w:val="-3"/>
        </w:rPr>
        <w:t>第五部分 其</w:t>
      </w:r>
      <w:r>
        <w:rPr/>
        <w:t>他</w:t>
      </w:r>
      <w:r>
        <w:rPr/>
        <w:t>事</w:t>
      </w:r>
      <w:r>
        <w:rPr>
          <w:spacing w:val="-10"/>
        </w:rPr>
        <w:t>项</w:t>
      </w:r>
    </w:p>
    <w:p>
      <w:pPr>
        <w:pStyle w:val="BodyText"/>
        <w:ind w:left="0"/>
        <w:rPr>
          <w:b/>
          <w:sz w:val="24"/>
        </w:rPr>
      </w:pPr>
    </w:p>
    <w:p>
      <w:pPr>
        <w:pStyle w:val="BodyText"/>
        <w:spacing w:before="9"/>
        <w:ind w:left="0"/>
        <w:rPr>
          <w:b/>
          <w:sz w:val="26"/>
        </w:rPr>
      </w:pPr>
    </w:p>
    <w:p>
      <w:pPr>
        <w:pStyle w:val="Heading5"/>
      </w:pPr>
      <w:r>
        <w:rPr>
          <w:spacing w:val="-3"/>
        </w:rPr>
        <w:t>第二十八条 释义</w:t>
      </w:r>
    </w:p>
    <w:p>
      <w:pPr>
        <w:pStyle w:val="BodyText"/>
        <w:spacing w:line="278" w:lineRule="auto" w:before="43"/>
        <w:ind w:left="946" w:right="1554" w:hanging="708"/>
      </w:pPr>
      <w:r>
        <w:rPr/>
        <w:t>（一）</w:t>
      </w:r>
      <w:r>
        <w:rPr>
          <w:spacing w:val="-23"/>
        </w:rPr>
        <w:t> </w:t>
      </w:r>
      <w:r>
        <w:rPr>
          <w:b/>
        </w:rPr>
        <w:t>保险单周年日：</w:t>
      </w:r>
      <w:r>
        <w:rPr/>
        <w:t>指本合同生效日以后每年的对应日。如果当月无对应的同一日，则</w:t>
      </w:r>
      <w:r>
        <w:rPr>
          <w:spacing w:val="-2"/>
        </w:rPr>
        <w:t>以该月最后一日作为对应日。</w:t>
      </w:r>
    </w:p>
    <w:p>
      <w:pPr>
        <w:pStyle w:val="BodyText"/>
        <w:spacing w:line="278" w:lineRule="auto"/>
        <w:ind w:left="946" w:right="1550" w:hanging="708"/>
      </w:pPr>
      <w:r>
        <w:rPr/>
        <w:t>（二）</w:t>
      </w:r>
      <w:r>
        <w:rPr>
          <w:spacing w:val="-19"/>
        </w:rPr>
        <w:t> </w:t>
      </w:r>
      <w:r>
        <w:rPr>
          <w:b/>
        </w:rPr>
        <w:t>保险单年度：</w:t>
      </w:r>
      <w:r>
        <w:rPr/>
        <w:t>从本合同生效日或生效对应日零时起至下一年度本合同生效对应日零</w:t>
      </w:r>
      <w:r>
        <w:rPr>
          <w:spacing w:val="-2"/>
        </w:rPr>
        <w:t>时止为一个保险单年度。</w:t>
      </w:r>
    </w:p>
    <w:p>
      <w:pPr>
        <w:pStyle w:val="BodyText"/>
        <w:spacing w:line="278" w:lineRule="auto"/>
        <w:ind w:left="946" w:right="1554" w:hanging="708"/>
      </w:pPr>
      <w:r>
        <w:rPr/>
        <w:t>（三）</w:t>
      </w:r>
      <w:r>
        <w:rPr>
          <w:spacing w:val="-25"/>
        </w:rPr>
        <w:t> </w:t>
      </w:r>
      <w:r>
        <w:rPr>
          <w:b/>
        </w:rPr>
        <w:t>保险费约定交纳日：</w:t>
      </w:r>
      <w:r>
        <w:rPr/>
        <w:t>本合同生效日在每月、每季、每半年或每年（根据交费方式确</w:t>
      </w:r>
      <w:r>
        <w:rPr>
          <w:spacing w:val="-2"/>
        </w:rPr>
        <w:t>定）的对应日。如果当月无对应的同一日，则以该月最后一日为对应日。</w:t>
      </w:r>
    </w:p>
    <w:p>
      <w:pPr>
        <w:pStyle w:val="BodyText"/>
        <w:spacing w:line="278" w:lineRule="auto"/>
        <w:ind w:left="946" w:right="1552" w:hanging="708"/>
      </w:pPr>
      <w:r>
        <w:rPr/>
        <w:t>（四）</w:t>
      </w:r>
      <w:r>
        <w:rPr>
          <w:spacing w:val="-18"/>
        </w:rPr>
        <w:t> </w:t>
      </w:r>
      <w:r>
        <w:rPr>
          <w:b/>
        </w:rPr>
        <w:t>周岁：</w:t>
      </w:r>
      <w:r>
        <w:rPr/>
        <w:t>指按法定身份证明文件中记载的出生日期计算的年龄，自出生之日起为零周</w:t>
      </w:r>
      <w:r>
        <w:rPr>
          <w:spacing w:val="-2"/>
        </w:rPr>
        <w:t>岁，每经过一年增加一岁，不足一年的不计。</w:t>
      </w:r>
    </w:p>
    <w:p>
      <w:pPr>
        <w:pStyle w:val="BodyText"/>
        <w:spacing w:line="278" w:lineRule="auto"/>
        <w:ind w:left="946" w:right="1552" w:hanging="708"/>
      </w:pPr>
      <w:r>
        <w:rPr/>
        <w:t>（五）</w:t>
      </w:r>
      <w:r>
        <w:rPr>
          <w:spacing w:val="-20"/>
        </w:rPr>
        <w:t> </w:t>
      </w:r>
      <w:r>
        <w:rPr>
          <w:b/>
        </w:rPr>
        <w:t>意外伤害：</w:t>
      </w:r>
      <w:r>
        <w:rPr/>
        <w:t>指遭受外来的、突发的、非本意的、非疾病的使身体受到伤害的客观事</w:t>
      </w:r>
      <w:r>
        <w:rPr>
          <w:spacing w:val="-6"/>
        </w:rPr>
        <w:t>件。</w:t>
      </w:r>
    </w:p>
    <w:p>
      <w:pPr>
        <w:pStyle w:val="BodyText"/>
        <w:spacing w:line="278" w:lineRule="auto"/>
        <w:ind w:left="946" w:right="1552" w:hanging="708"/>
      </w:pPr>
      <w:r>
        <w:rPr/>
        <w:pict>
          <v:shape style="position:absolute;margin-left:125.300003pt;margin-top:30.060013pt;width:157.6pt;height:14.8pt;mso-position-horizontal-relative:page;mso-position-vertical-relative:paragraph;z-index:15763968" type="#_x0000_t202" id="docshape67" filled="true" fillcolor="#c0c0c0" stroked="false">
            <v:textbox inset="0,0,0,0">
              <w:txbxContent>
                <w:p>
                  <w:pPr>
                    <w:pStyle w:val="BodyText"/>
                    <w:spacing w:before="22"/>
                    <w:ind w:left="0" w:right="-15"/>
                    <w:rPr>
                      <w:color w:val="000000"/>
                    </w:rPr>
                  </w:pPr>
                  <w:r>
                    <w:rPr>
                      <w:color w:val="000000"/>
                      <w:spacing w:val="-3"/>
                    </w:rPr>
                    <w:t>直接诊治病人为目的的医疗机构。</w:t>
                  </w:r>
                </w:p>
              </w:txbxContent>
            </v:textbox>
            <v:fill type="solid"/>
            <w10:wrap type="none"/>
          </v:shape>
        </w:pict>
      </w:r>
      <w:r>
        <w:rPr/>
        <w:pict>
          <v:shape style="position:absolute;margin-left:178.100006pt;margin-top:14.460012pt;width:327.45pt;height:15.6pt;mso-position-horizontal-relative:page;mso-position-vertical-relative:paragraph;z-index:-17134592" type="#_x0000_t202" id="docshape68" filled="true" fillcolor="#c0c0c0" stroked="false">
            <v:textbox inset="0,0,0,0">
              <w:txbxContent>
                <w:p>
                  <w:pPr>
                    <w:pStyle w:val="BodyText"/>
                    <w:spacing w:before="23"/>
                    <w:ind w:left="0" w:right="-15"/>
                    <w:rPr>
                      <w:color w:val="000000"/>
                    </w:rPr>
                  </w:pPr>
                  <w:r>
                    <w:rPr>
                      <w:color w:val="000000"/>
                      <w:spacing w:val="-1"/>
                    </w:rPr>
                    <w:t>但不包括精神病院及专供康复、休养、戒毒、戒酒、护理、养老等非以</w:t>
                  </w:r>
                </w:p>
              </w:txbxContent>
            </v:textbox>
            <v:fill type="solid"/>
            <w10:wrap type="none"/>
          </v:shape>
        </w:pict>
      </w:r>
      <w:r>
        <w:rPr/>
        <w:t>（六）</w:t>
      </w:r>
      <w:r>
        <w:rPr>
          <w:spacing w:val="-18"/>
        </w:rPr>
        <w:t> </w:t>
      </w:r>
      <w:r>
        <w:rPr>
          <w:b/>
        </w:rPr>
        <w:t>医院：</w:t>
      </w:r>
      <w:r>
        <w:rPr/>
        <w:t>指本公司指定医院或中华人民共和国卫生部门评审确定的二级或二级以上的</w:t>
      </w:r>
      <w:r>
        <w:rPr>
          <w:spacing w:val="-2"/>
        </w:rPr>
        <w:t>公立医院，</w:t>
      </w:r>
    </w:p>
    <w:p>
      <w:pPr>
        <w:pStyle w:val="BodyText"/>
        <w:spacing w:before="9"/>
        <w:ind w:left="0"/>
        <w:rPr>
          <w:sz w:val="18"/>
        </w:rPr>
      </w:pPr>
    </w:p>
    <w:p>
      <w:pPr>
        <w:pStyle w:val="BodyText"/>
        <w:spacing w:line="278" w:lineRule="auto" w:before="72"/>
        <w:ind w:left="946" w:right="1551"/>
      </w:pPr>
      <w:r>
        <w:rPr>
          <w:spacing w:val="-2"/>
        </w:rPr>
        <w:t>该医院必须具有符合国家有关医院管理规则设置标准的医疗设备，且全天二十四小</w:t>
      </w:r>
      <w:r>
        <w:rPr>
          <w:spacing w:val="-2"/>
        </w:rPr>
        <w:t>时有合格医师及护士驻院提供医疗及护理服务。</w:t>
      </w:r>
    </w:p>
    <w:p>
      <w:pPr>
        <w:pStyle w:val="BodyText"/>
        <w:spacing w:line="269" w:lineRule="exact"/>
      </w:pPr>
      <w:r>
        <w:rPr>
          <w:spacing w:val="-2"/>
        </w:rPr>
        <w:t>（七）</w:t>
      </w:r>
      <w:r>
        <w:rPr>
          <w:spacing w:val="-7"/>
        </w:rPr>
        <w:t> </w:t>
      </w:r>
      <w:r>
        <w:rPr>
          <w:b/>
          <w:spacing w:val="-2"/>
        </w:rPr>
        <w:t>专科医生：</w:t>
      </w:r>
      <w:r>
        <w:rPr>
          <w:spacing w:val="-3"/>
        </w:rPr>
        <w:t>专科医生应当同时满足以下四项资格条件：</w:t>
      </w:r>
    </w:p>
    <w:p>
      <w:pPr>
        <w:pStyle w:val="ListParagraph"/>
        <w:numPr>
          <w:ilvl w:val="1"/>
          <w:numId w:val="11"/>
        </w:numPr>
        <w:tabs>
          <w:tab w:pos="1232" w:val="left" w:leader="none"/>
        </w:tabs>
        <w:spacing w:line="240" w:lineRule="auto" w:before="42" w:after="0"/>
        <w:ind w:left="1231" w:right="0" w:hanging="286"/>
        <w:jc w:val="left"/>
        <w:rPr>
          <w:sz w:val="21"/>
        </w:rPr>
      </w:pPr>
      <w:r>
        <w:rPr>
          <w:spacing w:val="-3"/>
          <w:sz w:val="21"/>
        </w:rPr>
        <w:t>具有有效的中华人民共和国《医师资格证书》；</w:t>
      </w:r>
    </w:p>
    <w:p>
      <w:pPr>
        <w:pStyle w:val="ListParagraph"/>
        <w:numPr>
          <w:ilvl w:val="1"/>
          <w:numId w:val="11"/>
        </w:numPr>
        <w:tabs>
          <w:tab w:pos="1232" w:val="left" w:leader="none"/>
        </w:tabs>
        <w:spacing w:line="240" w:lineRule="auto" w:before="43" w:after="0"/>
        <w:ind w:left="1231" w:right="0" w:hanging="286"/>
        <w:jc w:val="left"/>
        <w:rPr>
          <w:sz w:val="21"/>
        </w:rPr>
      </w:pPr>
      <w:r>
        <w:rPr>
          <w:spacing w:val="-3"/>
          <w:sz w:val="21"/>
        </w:rPr>
        <w:t>具有有效的中华人民共和国《医师执业证书》，并按期到相关部门登记注册；</w:t>
      </w:r>
    </w:p>
    <w:p>
      <w:pPr>
        <w:pStyle w:val="ListParagraph"/>
        <w:numPr>
          <w:ilvl w:val="1"/>
          <w:numId w:val="11"/>
        </w:numPr>
        <w:tabs>
          <w:tab w:pos="1232" w:val="left" w:leader="none"/>
        </w:tabs>
        <w:spacing w:line="240" w:lineRule="auto" w:before="43" w:after="0"/>
        <w:ind w:left="1231" w:right="0" w:hanging="286"/>
        <w:jc w:val="left"/>
        <w:rPr>
          <w:sz w:val="21"/>
        </w:rPr>
      </w:pPr>
      <w:r>
        <w:rPr>
          <w:spacing w:val="-5"/>
          <w:sz w:val="21"/>
        </w:rPr>
        <w:t>具有有效的中华人民共和国主治医师或主治医师以上职称的《医师职称证书》；</w:t>
      </w:r>
    </w:p>
    <w:p>
      <w:pPr>
        <w:pStyle w:val="ListParagraph"/>
        <w:numPr>
          <w:ilvl w:val="1"/>
          <w:numId w:val="11"/>
        </w:numPr>
        <w:tabs>
          <w:tab w:pos="1232" w:val="left" w:leader="none"/>
        </w:tabs>
        <w:spacing w:line="278" w:lineRule="auto" w:before="43" w:after="0"/>
        <w:ind w:left="946" w:right="1549" w:firstLine="0"/>
        <w:jc w:val="left"/>
        <w:rPr>
          <w:sz w:val="21"/>
        </w:rPr>
      </w:pPr>
      <w:r>
        <w:rPr>
          <w:spacing w:val="-2"/>
          <w:sz w:val="21"/>
        </w:rPr>
        <w:t>在国家《医院分级管理标准》二级或二级以上医院的相应科室从事临床工作三年</w:t>
      </w:r>
      <w:r>
        <w:rPr>
          <w:spacing w:val="-4"/>
          <w:sz w:val="21"/>
        </w:rPr>
        <w:t>以上。</w:t>
      </w:r>
    </w:p>
    <w:p>
      <w:pPr>
        <w:pStyle w:val="BodyText"/>
        <w:spacing w:line="278" w:lineRule="auto"/>
        <w:ind w:left="946" w:right="1552" w:hanging="708"/>
      </w:pPr>
      <w:r>
        <w:rPr/>
        <w:t>（八）</w:t>
      </w:r>
      <w:r>
        <w:rPr>
          <w:spacing w:val="-20"/>
        </w:rPr>
        <w:t> </w:t>
      </w:r>
      <w:r>
        <w:rPr>
          <w:b/>
        </w:rPr>
        <w:t>现金价值：</w:t>
      </w:r>
      <w:r>
        <w:rPr/>
        <w:t>指保险单的价值，通常体现为解除合同时，根据精算原理计算的，由本</w:t>
      </w:r>
      <w:r>
        <w:rPr>
          <w:spacing w:val="-2"/>
        </w:rPr>
        <w:t>公司退还的那部分金额。本合同保险单年度末的现金价值将在保险单上载明。</w:t>
      </w:r>
    </w:p>
    <w:p>
      <w:pPr>
        <w:pStyle w:val="BodyText"/>
        <w:spacing w:line="269" w:lineRule="exact"/>
      </w:pPr>
      <w:r>
        <w:rPr>
          <w:spacing w:val="-2"/>
        </w:rPr>
        <w:t>（九）</w:t>
      </w:r>
      <w:r>
        <w:rPr>
          <w:spacing w:val="-9"/>
        </w:rPr>
        <w:t> </w:t>
      </w:r>
      <w:r>
        <w:rPr>
          <w:b/>
          <w:spacing w:val="-2"/>
        </w:rPr>
        <w:t>全残</w:t>
      </w:r>
      <w:r>
        <w:rPr>
          <w:spacing w:val="-3"/>
        </w:rPr>
        <w:t>：合同所定义的全残是指至少满足下列情形之一者：</w:t>
      </w:r>
    </w:p>
    <w:p>
      <w:pPr>
        <w:pStyle w:val="ListParagraph"/>
        <w:numPr>
          <w:ilvl w:val="0"/>
          <w:numId w:val="12"/>
        </w:numPr>
        <w:tabs>
          <w:tab w:pos="1232" w:val="left" w:leader="none"/>
        </w:tabs>
        <w:spacing w:line="240" w:lineRule="auto" w:before="43" w:after="0"/>
        <w:ind w:left="1231" w:right="0" w:hanging="286"/>
        <w:jc w:val="left"/>
        <w:rPr>
          <w:sz w:val="21"/>
        </w:rPr>
      </w:pPr>
      <w:r>
        <w:rPr>
          <w:spacing w:val="-2"/>
          <w:sz w:val="21"/>
        </w:rPr>
        <w:t>双目永久完全（注①）失明（</w:t>
      </w:r>
      <w:r>
        <w:rPr>
          <w:spacing w:val="-4"/>
          <w:sz w:val="21"/>
        </w:rPr>
        <w:t>注②</w:t>
      </w:r>
      <w:r>
        <w:rPr>
          <w:spacing w:val="-5"/>
          <w:sz w:val="21"/>
        </w:rPr>
        <w:t>）；</w:t>
      </w:r>
    </w:p>
    <w:p>
      <w:pPr>
        <w:pStyle w:val="ListParagraph"/>
        <w:numPr>
          <w:ilvl w:val="0"/>
          <w:numId w:val="12"/>
        </w:numPr>
        <w:tabs>
          <w:tab w:pos="1232" w:val="left" w:leader="none"/>
        </w:tabs>
        <w:spacing w:line="240" w:lineRule="auto" w:before="43" w:after="0"/>
        <w:ind w:left="1231" w:right="0" w:hanging="286"/>
        <w:jc w:val="left"/>
        <w:rPr>
          <w:sz w:val="21"/>
        </w:rPr>
      </w:pPr>
      <w:r>
        <w:rPr>
          <w:spacing w:val="-3"/>
          <w:sz w:val="21"/>
        </w:rPr>
        <w:t>两上肢腕关节以上或两下肢踝关节以上缺失；</w:t>
      </w:r>
    </w:p>
    <w:p>
      <w:pPr>
        <w:pStyle w:val="ListParagraph"/>
        <w:numPr>
          <w:ilvl w:val="0"/>
          <w:numId w:val="12"/>
        </w:numPr>
        <w:tabs>
          <w:tab w:pos="1232" w:val="left" w:leader="none"/>
        </w:tabs>
        <w:spacing w:line="240" w:lineRule="auto" w:before="43" w:after="0"/>
        <w:ind w:left="1231" w:right="0" w:hanging="286"/>
        <w:jc w:val="left"/>
        <w:rPr>
          <w:sz w:val="21"/>
        </w:rPr>
      </w:pPr>
      <w:r>
        <w:rPr>
          <w:spacing w:val="-3"/>
          <w:sz w:val="21"/>
        </w:rPr>
        <w:t>一上肢腕关节以上及一下肢踝关节以上缺失；</w:t>
      </w:r>
    </w:p>
    <w:p>
      <w:pPr>
        <w:pStyle w:val="ListParagraph"/>
        <w:numPr>
          <w:ilvl w:val="0"/>
          <w:numId w:val="12"/>
        </w:numPr>
        <w:tabs>
          <w:tab w:pos="1232" w:val="left" w:leader="none"/>
        </w:tabs>
        <w:spacing w:line="240" w:lineRule="auto" w:before="43" w:after="0"/>
        <w:ind w:left="1231" w:right="0" w:hanging="286"/>
        <w:jc w:val="left"/>
        <w:rPr>
          <w:sz w:val="21"/>
        </w:rPr>
      </w:pPr>
      <w:r>
        <w:rPr>
          <w:spacing w:val="-3"/>
          <w:sz w:val="21"/>
        </w:rPr>
        <w:t>一目永久完全失明及一上肢腕关节以上缺失；</w:t>
      </w:r>
    </w:p>
    <w:p>
      <w:pPr>
        <w:pStyle w:val="ListParagraph"/>
        <w:numPr>
          <w:ilvl w:val="0"/>
          <w:numId w:val="12"/>
        </w:numPr>
        <w:tabs>
          <w:tab w:pos="1232" w:val="left" w:leader="none"/>
        </w:tabs>
        <w:spacing w:line="240" w:lineRule="auto" w:before="43" w:after="0"/>
        <w:ind w:left="1231" w:right="0" w:hanging="286"/>
        <w:jc w:val="left"/>
        <w:rPr>
          <w:sz w:val="21"/>
        </w:rPr>
      </w:pPr>
      <w:r>
        <w:rPr>
          <w:spacing w:val="-3"/>
          <w:sz w:val="21"/>
        </w:rPr>
        <w:t>一目永久完全失明及一下肢踝关节以上缺失；</w:t>
      </w:r>
    </w:p>
    <w:p>
      <w:pPr>
        <w:pStyle w:val="ListParagraph"/>
        <w:numPr>
          <w:ilvl w:val="0"/>
          <w:numId w:val="12"/>
        </w:numPr>
        <w:tabs>
          <w:tab w:pos="1232" w:val="left" w:leader="none"/>
        </w:tabs>
        <w:spacing w:line="240" w:lineRule="auto" w:before="43" w:after="0"/>
        <w:ind w:left="1231" w:right="0" w:hanging="286"/>
        <w:jc w:val="left"/>
        <w:rPr>
          <w:sz w:val="21"/>
        </w:rPr>
      </w:pPr>
      <w:r>
        <w:rPr>
          <w:spacing w:val="-2"/>
          <w:sz w:val="21"/>
        </w:rPr>
        <w:t>四肢关节机能永久完全丧失（</w:t>
      </w:r>
      <w:r>
        <w:rPr>
          <w:spacing w:val="-4"/>
          <w:sz w:val="21"/>
        </w:rPr>
        <w:t>注③</w:t>
      </w:r>
      <w:r>
        <w:rPr>
          <w:spacing w:val="-5"/>
          <w:sz w:val="21"/>
        </w:rPr>
        <w:t>）；</w:t>
      </w:r>
    </w:p>
    <w:p>
      <w:pPr>
        <w:pStyle w:val="ListParagraph"/>
        <w:numPr>
          <w:ilvl w:val="0"/>
          <w:numId w:val="12"/>
        </w:numPr>
        <w:tabs>
          <w:tab w:pos="1232" w:val="left" w:leader="none"/>
        </w:tabs>
        <w:spacing w:line="240" w:lineRule="auto" w:before="43" w:after="0"/>
        <w:ind w:left="1231" w:right="0" w:hanging="286"/>
        <w:jc w:val="left"/>
        <w:rPr>
          <w:sz w:val="21"/>
        </w:rPr>
      </w:pPr>
      <w:r>
        <w:rPr>
          <w:spacing w:val="-2"/>
          <w:sz w:val="21"/>
        </w:rPr>
        <w:t>咀嚼、吞咽机能永久完全丧失（</w:t>
      </w:r>
      <w:r>
        <w:rPr>
          <w:spacing w:val="-4"/>
          <w:sz w:val="21"/>
        </w:rPr>
        <w:t>注④</w:t>
      </w:r>
      <w:r>
        <w:rPr>
          <w:spacing w:val="-5"/>
          <w:sz w:val="21"/>
        </w:rPr>
        <w:t>）；</w:t>
      </w:r>
    </w:p>
    <w:p>
      <w:pPr>
        <w:pStyle w:val="ListParagraph"/>
        <w:numPr>
          <w:ilvl w:val="0"/>
          <w:numId w:val="12"/>
        </w:numPr>
        <w:tabs>
          <w:tab w:pos="1232" w:val="left" w:leader="none"/>
        </w:tabs>
        <w:spacing w:line="278" w:lineRule="auto" w:before="43" w:after="0"/>
        <w:ind w:left="946" w:right="1561" w:firstLine="0"/>
        <w:jc w:val="left"/>
        <w:rPr>
          <w:sz w:val="21"/>
        </w:rPr>
      </w:pPr>
      <w:r>
        <w:rPr>
          <w:spacing w:val="1"/>
          <w:w w:val="100"/>
          <w:sz w:val="21"/>
        </w:rPr>
        <w:t>中枢神经系统机能或胸、腹部脏器机能极度障碍，终身不能从事任何工作，为</w:t>
      </w:r>
      <w:r>
        <w:rPr>
          <w:spacing w:val="-3"/>
          <w:w w:val="100"/>
          <w:sz w:val="21"/>
        </w:rPr>
        <w:t>维持生命必要的日常生活活动，全需他人扶助</w:t>
      </w:r>
      <w:r>
        <w:rPr>
          <w:w w:val="100"/>
          <w:sz w:val="21"/>
        </w:rPr>
        <w:t>（</w:t>
      </w:r>
      <w:r>
        <w:rPr>
          <w:spacing w:val="-3"/>
          <w:w w:val="100"/>
          <w:sz w:val="21"/>
        </w:rPr>
        <w:t>注</w:t>
      </w:r>
      <w:r>
        <w:rPr>
          <w:w w:val="100"/>
          <w:sz w:val="21"/>
        </w:rPr>
        <w:t>⑤）。</w:t>
      </w:r>
    </w:p>
    <w:p>
      <w:pPr>
        <w:pStyle w:val="BodyText"/>
        <w:spacing w:line="278" w:lineRule="auto"/>
        <w:ind w:left="941" w:right="1551"/>
      </w:pPr>
      <w:r>
        <w:rPr>
          <w:spacing w:val="-2"/>
        </w:rPr>
        <w:t>全残的鉴定应在治疗结束之后由医疗机构（或鉴定机构）进行。如自被保险人遭受</w:t>
      </w:r>
      <w:r>
        <w:rPr>
          <w:spacing w:val="-2"/>
        </w:rPr>
        <w:t>意外伤害之日起 </w:t>
      </w:r>
      <w:r>
        <w:rPr/>
        <w:t>180</w:t>
      </w:r>
      <w:r>
        <w:rPr>
          <w:spacing w:val="-5"/>
        </w:rPr>
        <w:t> 日后治疗仍未结束，按第 </w:t>
      </w:r>
      <w:r>
        <w:rPr/>
        <w:t>180</w:t>
      </w:r>
      <w:r>
        <w:rPr>
          <w:spacing w:val="-4"/>
        </w:rPr>
        <w:t> 日的身体情况进行鉴定。</w:t>
      </w:r>
    </w:p>
    <w:p>
      <w:pPr>
        <w:pStyle w:val="BodyText"/>
        <w:spacing w:line="269" w:lineRule="exact"/>
        <w:ind w:left="941"/>
      </w:pPr>
      <w:r>
        <w:rPr>
          <w:spacing w:val="-5"/>
        </w:rPr>
        <w:t>注：</w:t>
      </w:r>
    </w:p>
    <w:p>
      <w:pPr>
        <w:pStyle w:val="BodyText"/>
        <w:spacing w:line="278" w:lineRule="auto" w:before="43"/>
        <w:ind w:left="941" w:right="1553"/>
      </w:pPr>
      <w:r>
        <w:rPr/>
        <w:t>①永久完全系指自上述“全残”情形发生之日起经过 180 日的治疗机能仍完全丧</w:t>
      </w:r>
      <w:r>
        <w:rPr>
          <w:spacing w:val="-2"/>
        </w:rPr>
        <w:t>失，但眼球摘除等明显无法复原的情况，不在此限。</w:t>
      </w:r>
    </w:p>
    <w:p>
      <w:pPr>
        <w:pStyle w:val="BodyText"/>
        <w:spacing w:line="278" w:lineRule="auto"/>
        <w:ind w:left="941" w:right="1549"/>
      </w:pPr>
      <w:r>
        <w:rPr>
          <w:spacing w:val="-2"/>
        </w:rPr>
        <w:t>②失明包括眼球缺失或摘除、或不能辨别明暗、或仅能辨别眼前手动者，最佳矫正</w:t>
      </w:r>
      <w:r>
        <w:rPr>
          <w:spacing w:val="-6"/>
        </w:rPr>
        <w:t>视力低于国际标准视力表 </w:t>
      </w:r>
      <w:r>
        <w:rPr>
          <w:spacing w:val="-2"/>
        </w:rPr>
        <w:t>0.02</w:t>
      </w:r>
      <w:r>
        <w:rPr>
          <w:spacing w:val="-7"/>
        </w:rPr>
        <w:t>，或视野半径小于 </w:t>
      </w:r>
      <w:r>
        <w:rPr>
          <w:spacing w:val="-2"/>
        </w:rPr>
        <w:t>5</w:t>
      </w:r>
      <w:r>
        <w:rPr>
          <w:spacing w:val="-10"/>
        </w:rPr>
        <w:t> 度，并由本公司确定的有资格的</w:t>
      </w:r>
    </w:p>
    <w:p>
      <w:pPr>
        <w:spacing w:after="0" w:line="278" w:lineRule="auto"/>
        <w:sectPr>
          <w:pgSz w:w="11910" w:h="16840"/>
          <w:pgMar w:header="0" w:footer="1005" w:top="1380" w:bottom="1200" w:left="1560" w:right="240"/>
        </w:sectPr>
      </w:pPr>
    </w:p>
    <w:p>
      <w:pPr>
        <w:pStyle w:val="BodyText"/>
        <w:spacing w:before="44"/>
        <w:ind w:left="941"/>
      </w:pPr>
      <w:r>
        <w:rPr>
          <w:spacing w:val="-3"/>
        </w:rPr>
        <w:t>眼科医师出具医疗诊断证明。</w:t>
      </w:r>
    </w:p>
    <w:p>
      <w:pPr>
        <w:pStyle w:val="BodyText"/>
        <w:spacing w:before="43"/>
        <w:ind w:left="941"/>
      </w:pPr>
      <w:r>
        <w:rPr>
          <w:spacing w:val="-3"/>
        </w:rPr>
        <w:t>③关节机能的丧失系指关节永久完全僵硬、或麻痹、或关节不能随意识活动。</w:t>
      </w:r>
    </w:p>
    <w:p>
      <w:pPr>
        <w:pStyle w:val="BodyText"/>
        <w:spacing w:line="278" w:lineRule="auto" w:before="43"/>
        <w:ind w:left="941" w:right="1551"/>
      </w:pPr>
      <w:r>
        <w:rPr>
          <w:spacing w:val="-2"/>
        </w:rPr>
        <w:t>④咀嚼、吞咽机能丧失系指由于牙齿以外的原因引起器质障碍或机能障碍，以至不</w:t>
      </w:r>
      <w:r>
        <w:rPr>
          <w:spacing w:val="-2"/>
        </w:rPr>
        <w:t>能作咀嚼、吞咽运动，除流质食物外不能摄取或吞咽的状态。</w:t>
      </w:r>
    </w:p>
    <w:p>
      <w:pPr>
        <w:pStyle w:val="BodyText"/>
        <w:spacing w:line="278" w:lineRule="auto"/>
        <w:ind w:left="941" w:right="1551"/>
      </w:pPr>
      <w:r>
        <w:rPr>
          <w:spacing w:val="-2"/>
        </w:rPr>
        <w:t>⑤为维持生命必要的日常生活活动，全需他人扶助系指食物摄取、大小便始末、穿</w:t>
      </w:r>
      <w:r>
        <w:rPr>
          <w:spacing w:val="-2"/>
        </w:rPr>
        <w:t>脱衣服、起居、步行、入浴等，皆不能自己为之，需要他人帮助。</w:t>
      </w:r>
    </w:p>
    <w:p>
      <w:pPr>
        <w:pStyle w:val="BodyText"/>
        <w:spacing w:line="278" w:lineRule="auto"/>
        <w:ind w:left="946" w:right="1551" w:hanging="708"/>
        <w:jc w:val="both"/>
      </w:pPr>
      <w:r>
        <w:rPr/>
        <w:t>（十）</w:t>
      </w:r>
      <w:r>
        <w:rPr>
          <w:spacing w:val="-22"/>
        </w:rPr>
        <w:t> </w:t>
      </w:r>
      <w:r>
        <w:rPr>
          <w:b/>
        </w:rPr>
        <w:t>恶性肿瘤——重度：</w:t>
      </w:r>
      <w:r>
        <w:rPr/>
        <w:t>指恶性细胞不受控制的进行性增长和扩散，浸润和破坏周围正</w:t>
      </w:r>
      <w:r>
        <w:rPr>
          <w:spacing w:val="-2"/>
        </w:rPr>
        <w:t>常组织，可以经血管、淋巴管和体腔扩散转移到身体其他部位，病灶经</w:t>
      </w:r>
      <w:r>
        <w:rPr>
          <w:b/>
          <w:spacing w:val="-2"/>
        </w:rPr>
        <w:t>组织病理学</w:t>
      </w:r>
      <w:r>
        <w:rPr>
          <w:b/>
          <w:spacing w:val="-42"/>
        </w:rPr>
        <w:t>检查</w:t>
      </w:r>
      <w:r>
        <w:rPr>
          <w:spacing w:val="-2"/>
        </w:rPr>
        <w:t>（涵盖骨髓病理学检查</w:t>
      </w:r>
      <w:r>
        <w:rPr>
          <w:spacing w:val="-82"/>
        </w:rPr>
        <w:t>）</w:t>
      </w:r>
      <w:r>
        <w:rPr>
          <w:spacing w:val="-15"/>
        </w:rPr>
        <w:t>结果明确诊断，临床诊断属于世界卫生组织</w:t>
      </w:r>
      <w:r>
        <w:rPr>
          <w:spacing w:val="-2"/>
        </w:rPr>
        <w:t>（WHO,</w:t>
      </w:r>
      <w:r>
        <w:rPr>
          <w:spacing w:val="-5"/>
        </w:rPr>
        <w:t> </w:t>
      </w:r>
      <w:r>
        <w:rPr>
          <w:spacing w:val="-2"/>
        </w:rPr>
        <w:t>World </w:t>
      </w:r>
      <w:r>
        <w:rPr/>
        <w:t>Health</w:t>
      </w:r>
      <w:r>
        <w:rPr>
          <w:spacing w:val="-24"/>
        </w:rPr>
        <w:t> </w:t>
      </w:r>
      <w:r>
        <w:rPr>
          <w:spacing w:val="6"/>
        </w:rPr>
        <w:t>Org</w:t>
      </w:r>
      <w:r>
        <w:rPr>
          <w:spacing w:val="3"/>
        </w:rPr>
        <w:t>a</w:t>
      </w:r>
      <w:r>
        <w:rPr>
          <w:spacing w:val="6"/>
        </w:rPr>
        <w:t>niz</w:t>
      </w:r>
      <w:r>
        <w:rPr>
          <w:spacing w:val="3"/>
        </w:rPr>
        <w:t>a</w:t>
      </w:r>
      <w:r>
        <w:rPr>
          <w:spacing w:val="6"/>
        </w:rPr>
        <w:t>tio</w:t>
      </w:r>
      <w:r>
        <w:rPr>
          <w:spacing w:val="21"/>
        </w:rPr>
        <w:t>n</w:t>
      </w:r>
      <w:r>
        <w:rPr>
          <w:spacing w:val="-81"/>
        </w:rPr>
        <w:t>）</w:t>
      </w:r>
      <w:r>
        <w:rPr>
          <w:spacing w:val="12"/>
        </w:rPr>
        <w:t>《疾病和有关健康问题的国际统计分类》第十次修订版</w:t>
      </w:r>
    </w:p>
    <w:p>
      <w:pPr>
        <w:pStyle w:val="BodyText"/>
        <w:spacing w:line="278" w:lineRule="auto"/>
        <w:ind w:left="946" w:right="1548"/>
        <w:jc w:val="both"/>
      </w:pPr>
      <w:r>
        <w:rPr/>
        <w:pict>
          <v:shape style="position:absolute;margin-left:125.300003pt;margin-top:30.060009pt;width:267.9pt;height:14.8pt;mso-position-horizontal-relative:page;mso-position-vertical-relative:paragraph;z-index:15772672" type="#_x0000_t202" id="docshape69" filled="true" fillcolor="#c0c0c0" stroked="false">
            <v:textbox inset="0,0,0,0">
              <w:txbxContent>
                <w:p>
                  <w:pPr>
                    <w:pStyle w:val="BodyText"/>
                    <w:spacing w:before="23"/>
                    <w:ind w:left="0" w:right="-15"/>
                    <w:rPr>
                      <w:color w:val="000000"/>
                    </w:rPr>
                  </w:pPr>
                  <w:r>
                    <w:rPr>
                      <w:color w:val="000000"/>
                      <w:spacing w:val="-10"/>
                    </w:rPr>
                    <w:t>下列疾病不属于“恶性肿瘤——重度”，不在保障范围内：</w:t>
                  </w:r>
                </w:p>
              </w:txbxContent>
            </v:textbox>
            <v:fill type="solid"/>
            <w10:wrap type="none"/>
          </v:shape>
        </w:pict>
      </w:r>
      <w:r>
        <w:rPr>
          <w:spacing w:val="-2"/>
        </w:rPr>
        <w:t>（</w:t>
      </w:r>
      <w:r>
        <w:rPr>
          <w:b/>
          <w:spacing w:val="-2"/>
        </w:rPr>
        <w:t>ICD-10</w:t>
      </w:r>
      <w:r>
        <w:rPr>
          <w:spacing w:val="-2"/>
        </w:rPr>
        <w:t>）的恶性肿瘤类别及《国际疾病分类肿瘤学专辑》第三版（</w:t>
      </w:r>
      <w:r>
        <w:rPr>
          <w:b/>
          <w:spacing w:val="-2"/>
        </w:rPr>
        <w:t>ICD-O-3</w:t>
      </w:r>
      <w:r>
        <w:rPr>
          <w:spacing w:val="-2"/>
        </w:rPr>
        <w:t>）的肿</w:t>
      </w:r>
      <w:r>
        <w:rPr>
          <w:spacing w:val="-5"/>
        </w:rPr>
        <w:t>瘤形态学编码属于 </w:t>
      </w:r>
      <w:r>
        <w:rPr/>
        <w:t>3、6、9（恶性肿瘤）范畴的疾病。</w:t>
      </w:r>
    </w:p>
    <w:p>
      <w:pPr>
        <w:pStyle w:val="BodyText"/>
        <w:spacing w:before="8"/>
        <w:ind w:left="0"/>
        <w:rPr>
          <w:sz w:val="20"/>
        </w:rPr>
      </w:pPr>
      <w:r>
        <w:rPr/>
        <w:pict>
          <v:shape style="position:absolute;margin-left:125.300003pt;margin-top:14.4435pt;width:380.25pt;height:14.8pt;mso-position-horizontal-relative:page;mso-position-vertical-relative:paragraph;z-index:-15692288;mso-wrap-distance-left:0;mso-wrap-distance-right:0" type="#_x0000_t202" id="docshape70" filled="true" fillcolor="#c0c0c0" stroked="false">
            <v:textbox inset="0,0,0,0">
              <w:txbxContent>
                <w:p>
                  <w:pPr>
                    <w:pStyle w:val="BodyText"/>
                    <w:spacing w:before="23"/>
                    <w:ind w:left="0" w:right="-15"/>
                    <w:rPr>
                      <w:color w:val="000000"/>
                    </w:rPr>
                  </w:pPr>
                  <w:r>
                    <w:rPr>
                      <w:color w:val="000000"/>
                      <w:spacing w:val="-2"/>
                    </w:rPr>
                    <w:t>1.</w:t>
                  </w:r>
                  <w:r>
                    <w:rPr>
                      <w:color w:val="000000"/>
                      <w:spacing w:val="-21"/>
                    </w:rPr>
                    <w:t> </w:t>
                  </w:r>
                  <w:r>
                    <w:rPr>
                      <w:color w:val="000000"/>
                      <w:spacing w:val="-2"/>
                    </w:rPr>
                    <w:t>ICD-O-3</w:t>
                  </w:r>
                  <w:r>
                    <w:rPr>
                      <w:color w:val="000000"/>
                      <w:spacing w:val="-4"/>
                    </w:rPr>
                    <w:t> 肿瘤形态学编码属于 </w:t>
                  </w:r>
                  <w:r>
                    <w:rPr>
                      <w:color w:val="000000"/>
                      <w:spacing w:val="-2"/>
                    </w:rPr>
                    <w:t>0（良性肿瘤）、1（动态未定性肿瘤）、2（</w:t>
                  </w:r>
                  <w:r>
                    <w:rPr>
                      <w:color w:val="000000"/>
                      <w:spacing w:val="-6"/>
                    </w:rPr>
                    <w:t>原位</w:t>
                  </w:r>
                </w:p>
              </w:txbxContent>
            </v:textbox>
            <v:fill type="solid"/>
            <w10:wrap type="topAndBottom"/>
          </v:shape>
        </w:pict>
      </w:r>
    </w:p>
    <w:p>
      <w:pPr>
        <w:pStyle w:val="BodyText"/>
        <w:ind w:left="946"/>
        <w:rPr>
          <w:sz w:val="20"/>
        </w:rPr>
      </w:pPr>
      <w:r>
        <w:rPr>
          <w:sz w:val="20"/>
        </w:rPr>
        <w:pict>
          <v:shape style="width:168.15pt;height:14.8pt;mso-position-horizontal-relative:char;mso-position-vertical-relative:line" type="#_x0000_t202" id="docshape71" filled="true" fillcolor="#c0c0c0" stroked="false">
            <w10:anchorlock/>
            <v:textbox inset="0,0,0,0">
              <w:txbxContent>
                <w:p>
                  <w:pPr>
                    <w:pStyle w:val="BodyText"/>
                    <w:spacing w:before="22"/>
                    <w:ind w:left="0" w:right="-15"/>
                    <w:rPr>
                      <w:color w:val="000000"/>
                    </w:rPr>
                  </w:pPr>
                  <w:r>
                    <w:rPr>
                      <w:color w:val="000000"/>
                      <w:spacing w:val="-4"/>
                    </w:rPr>
                    <w:t>癌和非侵袭性癌）</w:t>
                  </w:r>
                  <w:r>
                    <w:rPr>
                      <w:color w:val="000000"/>
                      <w:spacing w:val="-5"/>
                    </w:rPr>
                    <w:t>范畴的疾病，如：</w:t>
                  </w:r>
                </w:p>
              </w:txbxContent>
            </v:textbox>
            <v:fill type="solid"/>
          </v:shape>
        </w:pict>
      </w:r>
      <w:r>
        <w:rPr>
          <w:sz w:val="20"/>
        </w:rPr>
      </w:r>
    </w:p>
    <w:p>
      <w:pPr>
        <w:pStyle w:val="BodyText"/>
        <w:ind w:left="946"/>
        <w:rPr>
          <w:sz w:val="20"/>
        </w:rPr>
      </w:pPr>
      <w:r>
        <w:rPr>
          <w:sz w:val="20"/>
        </w:rPr>
        <w:pict>
          <v:shape style="width:380.25pt;height:14.8pt;mso-position-horizontal-relative:char;mso-position-vertical-relative:line" type="#_x0000_t202" id="docshape72" filled="true" fillcolor="#c0c0c0" stroked="false">
            <w10:anchorlock/>
            <v:textbox inset="0,0,0,0">
              <w:txbxContent>
                <w:p>
                  <w:pPr>
                    <w:pStyle w:val="BodyText"/>
                    <w:spacing w:before="23"/>
                    <w:ind w:left="0" w:right="-15"/>
                    <w:rPr>
                      <w:color w:val="000000"/>
                    </w:rPr>
                  </w:pPr>
                  <w:r>
                    <w:rPr>
                      <w:color w:val="000000"/>
                      <w:spacing w:val="-2"/>
                    </w:rPr>
                    <w:t>a.</w:t>
                  </w:r>
                  <w:r>
                    <w:rPr>
                      <w:color w:val="000000"/>
                      <w:spacing w:val="-3"/>
                    </w:rPr>
                    <w:t>原位癌，癌前病变，非浸润性癌，非侵袭性癌，肿瘤细胞未侵犯基底层，上皮内</w:t>
                  </w:r>
                </w:p>
              </w:txbxContent>
            </v:textbox>
            <v:fill type="solid"/>
          </v:shape>
        </w:pict>
      </w:r>
      <w:r>
        <w:rPr>
          <w:sz w:val="20"/>
        </w:rPr>
      </w:r>
    </w:p>
    <w:p>
      <w:pPr>
        <w:pStyle w:val="BodyText"/>
        <w:ind w:left="946"/>
        <w:rPr>
          <w:sz w:val="20"/>
        </w:rPr>
      </w:pPr>
      <w:r>
        <w:rPr>
          <w:sz w:val="20"/>
        </w:rPr>
        <w:pict>
          <v:shape style="width:136.6pt;height:14.8pt;mso-position-horizontal-relative:char;mso-position-vertical-relative:line" type="#_x0000_t202" id="docshape73" filled="true" fillcolor="#c0c0c0" stroked="false">
            <w10:anchorlock/>
            <v:textbox inset="0,0,0,0">
              <w:txbxContent>
                <w:p>
                  <w:pPr>
                    <w:pStyle w:val="BodyText"/>
                    <w:spacing w:before="22"/>
                    <w:ind w:left="0" w:right="-15"/>
                    <w:rPr>
                      <w:color w:val="000000"/>
                    </w:rPr>
                  </w:pPr>
                  <w:r>
                    <w:rPr>
                      <w:color w:val="000000"/>
                      <w:spacing w:val="-5"/>
                    </w:rPr>
                    <w:t>瘤变，细胞不典型性增生等；</w:t>
                  </w:r>
                </w:p>
              </w:txbxContent>
            </v:textbox>
            <v:fill type="solid"/>
          </v:shape>
        </w:pict>
      </w:r>
      <w:r>
        <w:rPr>
          <w:sz w:val="20"/>
        </w:rPr>
      </w:r>
    </w:p>
    <w:p>
      <w:pPr>
        <w:pStyle w:val="BodyText"/>
        <w:ind w:left="946"/>
        <w:rPr>
          <w:sz w:val="20"/>
        </w:rPr>
      </w:pPr>
      <w:r>
        <w:rPr>
          <w:sz w:val="20"/>
        </w:rPr>
        <w:pict>
          <v:shape style="width:346.75pt;height:14.8pt;mso-position-horizontal-relative:char;mso-position-vertical-relative:line" type="#_x0000_t202" id="docshape74" filled="true" fillcolor="#c0c0c0" stroked="false">
            <w10:anchorlock/>
            <v:textbox inset="0,0,0,0">
              <w:txbxContent>
                <w:p>
                  <w:pPr>
                    <w:pStyle w:val="BodyText"/>
                    <w:spacing w:before="23"/>
                    <w:ind w:left="0" w:right="-15"/>
                    <w:rPr>
                      <w:color w:val="000000"/>
                    </w:rPr>
                  </w:pPr>
                  <w:r>
                    <w:rPr>
                      <w:color w:val="000000"/>
                      <w:spacing w:val="-4"/>
                    </w:rPr>
                    <w:t>b.</w:t>
                  </w:r>
                  <w:r>
                    <w:rPr>
                      <w:color w:val="000000"/>
                      <w:spacing w:val="-5"/>
                    </w:rPr>
                    <w:t>交界性肿瘤，交界恶性肿瘤，肿瘤低度恶性潜能，潜在低度恶性肿瘤等；</w:t>
                  </w:r>
                </w:p>
              </w:txbxContent>
            </v:textbox>
            <v:fill type="solid"/>
          </v:shape>
        </w:pict>
      </w:r>
      <w:r>
        <w:rPr>
          <w:sz w:val="20"/>
        </w:rPr>
      </w:r>
    </w:p>
    <w:p>
      <w:pPr>
        <w:pStyle w:val="BodyText"/>
        <w:ind w:left="946"/>
        <w:rPr>
          <w:sz w:val="20"/>
        </w:rPr>
      </w:pPr>
      <w:r>
        <w:rPr>
          <w:sz w:val="20"/>
        </w:rPr>
        <w:pict>
          <v:shape style="width:201.5pt;height:14.8pt;mso-position-horizontal-relative:char;mso-position-vertical-relative:line" type="#_x0000_t202" id="docshape75" filled="true" fillcolor="#c0c0c0" stroked="false">
            <w10:anchorlock/>
            <v:textbox inset="0,0,0,0">
              <w:txbxContent>
                <w:p>
                  <w:pPr>
                    <w:spacing w:before="23"/>
                    <w:ind w:left="0" w:right="-15" w:firstLine="0"/>
                    <w:jc w:val="left"/>
                    <w:rPr>
                      <w:color w:val="000000"/>
                      <w:sz w:val="21"/>
                    </w:rPr>
                  </w:pPr>
                  <w:r>
                    <w:rPr>
                      <w:color w:val="000000"/>
                      <w:w w:val="95"/>
                      <w:sz w:val="21"/>
                    </w:rPr>
                    <w:t>2.</w:t>
                  </w:r>
                  <w:r>
                    <w:rPr>
                      <w:color w:val="000000"/>
                      <w:spacing w:val="73"/>
                      <w:sz w:val="21"/>
                    </w:rPr>
                    <w:t> </w:t>
                  </w:r>
                  <w:r>
                    <w:rPr>
                      <w:b/>
                      <w:color w:val="000000"/>
                      <w:w w:val="95"/>
                      <w:sz w:val="21"/>
                    </w:rPr>
                    <w:t>TNM</w:t>
                  </w:r>
                  <w:r>
                    <w:rPr>
                      <w:b/>
                      <w:color w:val="000000"/>
                      <w:spacing w:val="20"/>
                      <w:sz w:val="21"/>
                    </w:rPr>
                    <w:t> </w:t>
                  </w:r>
                  <w:r>
                    <w:rPr>
                      <w:b/>
                      <w:color w:val="000000"/>
                      <w:w w:val="95"/>
                      <w:sz w:val="21"/>
                    </w:rPr>
                    <w:t>分期为Ⅰ期或更轻分期的甲状腺癌</w:t>
                  </w:r>
                  <w:r>
                    <w:rPr>
                      <w:color w:val="000000"/>
                      <w:spacing w:val="-10"/>
                      <w:w w:val="95"/>
                      <w:sz w:val="21"/>
                    </w:rPr>
                    <w:t>；</w:t>
                  </w:r>
                </w:p>
              </w:txbxContent>
            </v:textbox>
            <v:fill type="solid"/>
          </v:shape>
        </w:pict>
      </w:r>
      <w:r>
        <w:rPr>
          <w:sz w:val="20"/>
        </w:rPr>
      </w:r>
    </w:p>
    <w:p>
      <w:pPr>
        <w:pStyle w:val="BodyText"/>
        <w:ind w:left="946"/>
        <w:rPr>
          <w:sz w:val="20"/>
        </w:rPr>
      </w:pPr>
      <w:r>
        <w:rPr>
          <w:sz w:val="20"/>
        </w:rPr>
        <w:pict>
          <v:shape style="width:218.25pt;height:14.8pt;mso-position-horizontal-relative:char;mso-position-vertical-relative:line" type="#_x0000_t202" id="docshape76" filled="true" fillcolor="#c0c0c0" stroked="false">
            <w10:anchorlock/>
            <v:textbox inset="0,0,0,0">
              <w:txbxContent>
                <w:p>
                  <w:pPr>
                    <w:pStyle w:val="BodyText"/>
                    <w:spacing w:before="22"/>
                    <w:ind w:left="0" w:right="-15"/>
                    <w:rPr>
                      <w:color w:val="000000"/>
                    </w:rPr>
                  </w:pPr>
                  <w:r>
                    <w:rPr>
                      <w:color w:val="000000"/>
                      <w:spacing w:val="-2"/>
                      <w:position w:val="1"/>
                    </w:rPr>
                    <w:t>3.</w:t>
                  </w:r>
                  <w:r>
                    <w:rPr>
                      <w:color w:val="000000"/>
                      <w:spacing w:val="-29"/>
                      <w:position w:val="1"/>
                    </w:rPr>
                    <w:t> </w:t>
                  </w:r>
                  <w:r>
                    <w:rPr>
                      <w:color w:val="000000"/>
                      <w:spacing w:val="-2"/>
                      <w:position w:val="1"/>
                    </w:rPr>
                    <w:t>TNM 分期为T</w:t>
                  </w:r>
                  <w:r>
                    <w:rPr>
                      <w:color w:val="000000"/>
                      <w:spacing w:val="-2"/>
                      <w:sz w:val="11"/>
                    </w:rPr>
                    <w:t>1</w:t>
                  </w:r>
                  <w:r>
                    <w:rPr>
                      <w:color w:val="000000"/>
                      <w:spacing w:val="-2"/>
                      <w:position w:val="1"/>
                    </w:rPr>
                    <w:t>N</w:t>
                  </w:r>
                  <w:r>
                    <w:rPr>
                      <w:color w:val="000000"/>
                      <w:spacing w:val="-2"/>
                      <w:sz w:val="11"/>
                    </w:rPr>
                    <w:t>0</w:t>
                  </w:r>
                  <w:r>
                    <w:rPr>
                      <w:color w:val="000000"/>
                      <w:spacing w:val="-2"/>
                      <w:position w:val="1"/>
                    </w:rPr>
                    <w:t>M</w:t>
                  </w:r>
                  <w:r>
                    <w:rPr>
                      <w:color w:val="000000"/>
                      <w:spacing w:val="-2"/>
                      <w:sz w:val="11"/>
                    </w:rPr>
                    <w:t>0</w:t>
                  </w:r>
                  <w:r>
                    <w:rPr>
                      <w:color w:val="000000"/>
                      <w:spacing w:val="-25"/>
                      <w:sz w:val="11"/>
                    </w:rPr>
                    <w:t> </w:t>
                  </w:r>
                  <w:r>
                    <w:rPr>
                      <w:color w:val="000000"/>
                      <w:spacing w:val="-3"/>
                      <w:position w:val="1"/>
                    </w:rPr>
                    <w:t>期或更轻分期的前列腺癌；</w:t>
                  </w:r>
                </w:p>
              </w:txbxContent>
            </v:textbox>
            <v:fill type="solid"/>
          </v:shape>
        </w:pict>
      </w:r>
      <w:r>
        <w:rPr>
          <w:sz w:val="20"/>
        </w:rPr>
      </w:r>
    </w:p>
    <w:p>
      <w:pPr>
        <w:pStyle w:val="BodyText"/>
        <w:ind w:left="946"/>
        <w:rPr>
          <w:sz w:val="20"/>
        </w:rPr>
      </w:pPr>
      <w:r>
        <w:rPr>
          <w:sz w:val="20"/>
        </w:rPr>
        <w:pict>
          <v:shape style="width:287.45pt;height:14.8pt;mso-position-horizontal-relative:char;mso-position-vertical-relative:line" type="#_x0000_t202" id="docshape77" filled="true" fillcolor="#c0c0c0" stroked="false">
            <w10:anchorlock/>
            <v:textbox inset="0,0,0,0">
              <w:txbxContent>
                <w:p>
                  <w:pPr>
                    <w:pStyle w:val="BodyText"/>
                    <w:spacing w:before="22"/>
                    <w:ind w:left="0" w:right="-15"/>
                    <w:rPr>
                      <w:color w:val="000000"/>
                    </w:rPr>
                  </w:pPr>
                  <w:r>
                    <w:rPr>
                      <w:color w:val="000000"/>
                      <w:spacing w:val="-6"/>
                    </w:rPr>
                    <w:t>4.</w:t>
                  </w:r>
                  <w:r>
                    <w:rPr>
                      <w:color w:val="000000"/>
                      <w:spacing w:val="-7"/>
                    </w:rPr>
                    <w:t> 黑色素瘤以外的未发生淋巴结和远处转移的皮肤恶性肿瘤；</w:t>
                  </w:r>
                </w:p>
              </w:txbxContent>
            </v:textbox>
            <v:fill type="solid"/>
          </v:shape>
        </w:pict>
      </w:r>
      <w:r>
        <w:rPr>
          <w:sz w:val="20"/>
        </w:rPr>
      </w:r>
    </w:p>
    <w:p>
      <w:pPr>
        <w:pStyle w:val="BodyText"/>
        <w:ind w:left="946"/>
        <w:rPr>
          <w:sz w:val="20"/>
        </w:rPr>
      </w:pPr>
      <w:r>
        <w:rPr>
          <w:sz w:val="20"/>
        </w:rPr>
        <w:pict>
          <v:shape style="width:277.05pt;height:14.8pt;mso-position-horizontal-relative:char;mso-position-vertical-relative:line" type="#_x0000_t202" id="docshape78" filled="true" fillcolor="#c0c0c0" stroked="false">
            <w10:anchorlock/>
            <v:textbox inset="0,0,0,0">
              <w:txbxContent>
                <w:p>
                  <w:pPr>
                    <w:pStyle w:val="BodyText"/>
                    <w:spacing w:before="22"/>
                    <w:ind w:left="0" w:right="-15"/>
                    <w:rPr>
                      <w:color w:val="000000"/>
                    </w:rPr>
                  </w:pPr>
                  <w:r>
                    <w:rPr>
                      <w:color w:val="000000"/>
                      <w:spacing w:val="-10"/>
                    </w:rPr>
                    <w:t>5.</w:t>
                  </w:r>
                  <w:r>
                    <w:rPr>
                      <w:color w:val="000000"/>
                      <w:spacing w:val="-14"/>
                    </w:rPr>
                    <w:t> 相当于 </w:t>
                  </w:r>
                  <w:r>
                    <w:rPr>
                      <w:color w:val="000000"/>
                      <w:spacing w:val="-10"/>
                    </w:rPr>
                    <w:t>Binet</w:t>
                  </w:r>
                  <w:r>
                    <w:rPr>
                      <w:color w:val="000000"/>
                      <w:spacing w:val="-13"/>
                    </w:rPr>
                    <w:t> 分期方案 </w:t>
                  </w:r>
                  <w:r>
                    <w:rPr>
                      <w:color w:val="000000"/>
                      <w:spacing w:val="-10"/>
                    </w:rPr>
                    <w:t>A 期程度的慢性淋巴细胞白血病；</w:t>
                  </w:r>
                </w:p>
              </w:txbxContent>
            </v:textbox>
            <v:fill type="solid"/>
          </v:shape>
        </w:pict>
      </w:r>
      <w:r>
        <w:rPr>
          <w:sz w:val="20"/>
        </w:rPr>
      </w:r>
    </w:p>
    <w:p>
      <w:pPr>
        <w:pStyle w:val="BodyText"/>
        <w:ind w:left="946"/>
        <w:rPr>
          <w:sz w:val="20"/>
        </w:rPr>
      </w:pPr>
      <w:r>
        <w:rPr>
          <w:sz w:val="20"/>
        </w:rPr>
        <w:pict>
          <v:shape style="width:256.05pt;height:14.8pt;mso-position-horizontal-relative:char;mso-position-vertical-relative:line" type="#_x0000_t202" id="docshape79" filled="true" fillcolor="#c0c0c0" stroked="false">
            <w10:anchorlock/>
            <v:textbox inset="0,0,0,0">
              <w:txbxContent>
                <w:p>
                  <w:pPr>
                    <w:pStyle w:val="BodyText"/>
                    <w:spacing w:before="23"/>
                    <w:ind w:left="0"/>
                    <w:rPr>
                      <w:color w:val="000000"/>
                    </w:rPr>
                  </w:pPr>
                  <w:r>
                    <w:rPr>
                      <w:color w:val="000000"/>
                      <w:spacing w:val="-8"/>
                    </w:rPr>
                    <w:t>6.</w:t>
                  </w:r>
                  <w:r>
                    <w:rPr>
                      <w:color w:val="000000"/>
                      <w:spacing w:val="-13"/>
                    </w:rPr>
                    <w:t> 相当于 </w:t>
                  </w:r>
                  <w:r>
                    <w:rPr>
                      <w:color w:val="000000"/>
                      <w:spacing w:val="-8"/>
                    </w:rPr>
                    <w:t>Ann</w:t>
                  </w:r>
                  <w:r>
                    <w:rPr>
                      <w:color w:val="000000"/>
                      <w:spacing w:val="-15"/>
                    </w:rPr>
                    <w:t> </w:t>
                  </w:r>
                  <w:r>
                    <w:rPr>
                      <w:color w:val="000000"/>
                      <w:spacing w:val="-8"/>
                    </w:rPr>
                    <w:t>Arbor</w:t>
                  </w:r>
                  <w:r>
                    <w:rPr>
                      <w:color w:val="000000"/>
                      <w:spacing w:val="-13"/>
                    </w:rPr>
                    <w:t> 分期方案 </w:t>
                  </w:r>
                  <w:r>
                    <w:rPr>
                      <w:color w:val="000000"/>
                      <w:spacing w:val="-8"/>
                    </w:rPr>
                    <w:t>I</w:t>
                  </w:r>
                  <w:r>
                    <w:rPr>
                      <w:color w:val="000000"/>
                      <w:spacing w:val="-11"/>
                    </w:rPr>
                    <w:t> 期程度的何杰金氏病；</w:t>
                  </w:r>
                </w:p>
              </w:txbxContent>
            </v:textbox>
            <v:fill type="solid"/>
          </v:shape>
        </w:pict>
      </w:r>
      <w:r>
        <w:rPr>
          <w:sz w:val="20"/>
        </w:rPr>
      </w:r>
    </w:p>
    <w:p>
      <w:pPr>
        <w:pStyle w:val="BodyText"/>
        <w:ind w:left="946"/>
        <w:rPr>
          <w:sz w:val="20"/>
        </w:rPr>
      </w:pPr>
      <w:r>
        <w:rPr>
          <w:sz w:val="20"/>
        </w:rPr>
        <w:pict>
          <v:shape style="width:380.25pt;height:14.8pt;mso-position-horizontal-relative:char;mso-position-vertical-relative:line" type="#_x0000_t202" id="docshape80" filled="true" fillcolor="#c0c0c0" stroked="false">
            <w10:anchorlock/>
            <v:textbox inset="0,0,0,0">
              <w:txbxContent>
                <w:p>
                  <w:pPr>
                    <w:pStyle w:val="BodyText"/>
                    <w:spacing w:before="23"/>
                    <w:ind w:left="0" w:right="-15"/>
                    <w:rPr>
                      <w:color w:val="000000"/>
                    </w:rPr>
                  </w:pPr>
                  <w:r>
                    <w:rPr>
                      <w:color w:val="000000"/>
                      <w:spacing w:val="-6"/>
                    </w:rPr>
                    <w:t>7.</w:t>
                  </w:r>
                  <w:r>
                    <w:rPr>
                      <w:color w:val="000000"/>
                      <w:spacing w:val="-10"/>
                    </w:rPr>
                    <w:t> 未发生淋巴结和远处转移且 </w:t>
                  </w:r>
                  <w:r>
                    <w:rPr>
                      <w:color w:val="000000"/>
                      <w:spacing w:val="-6"/>
                    </w:rPr>
                    <w:t>WHO</w:t>
                  </w:r>
                  <w:r>
                    <w:rPr>
                      <w:color w:val="000000"/>
                      <w:spacing w:val="-11"/>
                    </w:rPr>
                    <w:t> 分级为 </w:t>
                  </w:r>
                  <w:r>
                    <w:rPr>
                      <w:color w:val="000000"/>
                      <w:spacing w:val="-6"/>
                    </w:rPr>
                    <w:t>G1</w:t>
                  </w:r>
                  <w:r>
                    <w:rPr>
                      <w:color w:val="000000"/>
                      <w:spacing w:val="-10"/>
                    </w:rPr>
                    <w:t> 级别</w:t>
                  </w:r>
                  <w:r>
                    <w:rPr>
                      <w:color w:val="000000"/>
                      <w:spacing w:val="-6"/>
                    </w:rPr>
                    <w:t>（核分裂像&lt;10/50</w:t>
                  </w:r>
                  <w:r>
                    <w:rPr>
                      <w:color w:val="000000"/>
                      <w:spacing w:val="7"/>
                    </w:rPr>
                    <w:t> </w:t>
                  </w:r>
                  <w:r>
                    <w:rPr>
                      <w:color w:val="000000"/>
                      <w:spacing w:val="-6"/>
                    </w:rPr>
                    <w:t>HPF</w:t>
                  </w:r>
                  <w:r>
                    <w:rPr>
                      <w:color w:val="000000"/>
                      <w:spacing w:val="-19"/>
                    </w:rPr>
                    <w:t> 和 </w:t>
                  </w:r>
                  <w:r>
                    <w:rPr>
                      <w:color w:val="000000"/>
                      <w:spacing w:val="-6"/>
                    </w:rPr>
                    <w:t>ki-67</w:t>
                  </w:r>
                </w:p>
              </w:txbxContent>
            </v:textbox>
            <v:fill type="solid"/>
          </v:shape>
        </w:pict>
      </w:r>
      <w:r>
        <w:rPr>
          <w:sz w:val="20"/>
        </w:rPr>
      </w:r>
    </w:p>
    <w:p>
      <w:pPr>
        <w:pStyle w:val="BodyText"/>
        <w:ind w:left="946"/>
        <w:rPr>
          <w:sz w:val="20"/>
        </w:rPr>
      </w:pPr>
      <w:r>
        <w:rPr>
          <w:sz w:val="20"/>
        </w:rPr>
        <w:pict>
          <v:shape style="width:178.6pt;height:14.8pt;mso-position-horizontal-relative:char;mso-position-vertical-relative:line" type="#_x0000_t202" id="docshape81" filled="true" fillcolor="#c0c0c0" stroked="false">
            <w10:anchorlock/>
            <v:textbox inset="0,0,0,0">
              <w:txbxContent>
                <w:p>
                  <w:pPr>
                    <w:pStyle w:val="BodyText"/>
                    <w:spacing w:before="23"/>
                    <w:ind w:left="0" w:right="-15"/>
                    <w:rPr>
                      <w:color w:val="000000"/>
                    </w:rPr>
                  </w:pPr>
                  <w:r>
                    <w:rPr>
                      <w:color w:val="000000"/>
                      <w:spacing w:val="-4"/>
                    </w:rPr>
                    <w:t>≤2%）</w:t>
                  </w:r>
                  <w:r>
                    <w:rPr>
                      <w:color w:val="000000"/>
                      <w:spacing w:val="-5"/>
                    </w:rPr>
                    <w:t>或更轻分级的神经内分泌肿瘤。</w:t>
                  </w:r>
                </w:p>
              </w:txbxContent>
            </v:textbox>
            <v:fill type="solid"/>
          </v:shape>
        </w:pict>
      </w:r>
      <w:r>
        <w:rPr>
          <w:sz w:val="20"/>
        </w:rPr>
      </w:r>
    </w:p>
    <w:p>
      <w:pPr>
        <w:pStyle w:val="BodyText"/>
        <w:spacing w:line="278" w:lineRule="auto" w:before="5"/>
        <w:ind w:left="1090" w:right="1549" w:hanging="852"/>
      </w:pPr>
      <w:r>
        <w:rPr/>
        <w:pict>
          <v:shape style="position:absolute;margin-left:132.380005pt;margin-top:30.309992pt;width:373.15pt;height:14.8pt;mso-position-horizontal-relative:page;mso-position-vertical-relative:paragraph;z-index:15772160" type="#_x0000_t202" id="docshape82" filled="true" fillcolor="#c0c0c0" stroked="false">
            <v:textbox inset="0,0,0,0">
              <w:txbxContent>
                <w:p>
                  <w:pPr>
                    <w:pStyle w:val="BodyText"/>
                    <w:spacing w:before="22"/>
                    <w:ind w:left="0" w:right="-15"/>
                    <w:rPr>
                      <w:color w:val="000000"/>
                    </w:rPr>
                  </w:pPr>
                  <w:r>
                    <w:rPr>
                      <w:color w:val="000000"/>
                      <w:spacing w:val="-9"/>
                    </w:rPr>
                    <w:t>通过采集病变部位脱落细胞、细针吸取病变部位细胞、体腔积液分离病变细胞等方</w:t>
                  </w:r>
                </w:p>
              </w:txbxContent>
            </v:textbox>
            <v:fill type="solid"/>
            <w10:wrap type="none"/>
          </v:shape>
        </w:pict>
      </w:r>
      <w:r>
        <w:rPr>
          <w:spacing w:val="-4"/>
        </w:rPr>
        <w:t>（十一）</w:t>
      </w:r>
      <w:r>
        <w:rPr>
          <w:b/>
          <w:spacing w:val="-4"/>
        </w:rPr>
        <w:t>组织病理学检查</w:t>
      </w:r>
      <w:r>
        <w:rPr>
          <w:spacing w:val="-4"/>
        </w:rPr>
        <w:t>：组织病理学检查是通过局部切除、钳取、穿刺等手术方法，从患</w:t>
      </w:r>
      <w:r>
        <w:rPr>
          <w:spacing w:val="-2"/>
        </w:rPr>
        <w:t>者机体采取病变组织块，经过包埋、切片后，进行病理检查的方法。</w:t>
      </w:r>
    </w:p>
    <w:p>
      <w:pPr>
        <w:pStyle w:val="BodyText"/>
        <w:spacing w:before="8"/>
        <w:ind w:left="0"/>
        <w:rPr>
          <w:sz w:val="20"/>
        </w:rPr>
      </w:pPr>
      <w:r>
        <w:rPr/>
        <w:pict>
          <v:shape style="position:absolute;margin-left:132.380005pt;margin-top:14.45875pt;width:373.15pt;height:14.8pt;mso-position-horizontal-relative:page;mso-position-vertical-relative:paragraph;z-index:-15686144;mso-wrap-distance-left:0;mso-wrap-distance-right:0" type="#_x0000_t202" id="docshape83" filled="true" fillcolor="#c0c0c0" stroked="false">
            <v:textbox inset="0,0,0,0">
              <w:txbxContent>
                <w:p>
                  <w:pPr>
                    <w:pStyle w:val="BodyText"/>
                    <w:spacing w:before="22"/>
                    <w:ind w:left="0" w:right="-15"/>
                    <w:rPr>
                      <w:color w:val="000000"/>
                    </w:rPr>
                  </w:pPr>
                  <w:r>
                    <w:rPr>
                      <w:color w:val="000000"/>
                      <w:spacing w:val="-7"/>
                    </w:rPr>
                    <w:t>式获取病变细胞，制成涂片，进行病理检查的方法，属于细胞病理学检查，不属于</w:t>
                  </w:r>
                </w:p>
              </w:txbxContent>
            </v:textbox>
            <v:fill type="solid"/>
            <w10:wrap type="topAndBottom"/>
          </v:shape>
        </w:pict>
      </w:r>
    </w:p>
    <w:p>
      <w:pPr>
        <w:pStyle w:val="BodyText"/>
        <w:ind w:left="1087"/>
        <w:rPr>
          <w:sz w:val="20"/>
        </w:rPr>
      </w:pPr>
      <w:r>
        <w:rPr>
          <w:sz w:val="20"/>
        </w:rPr>
        <w:pict>
          <v:shape style="width:84.05pt;height:14.8pt;mso-position-horizontal-relative:char;mso-position-vertical-relative:line" type="#_x0000_t202" id="docshape84" filled="true" fillcolor="#c0c0c0" stroked="false">
            <w10:anchorlock/>
            <v:textbox inset="0,0,0,0">
              <w:txbxContent>
                <w:p>
                  <w:pPr>
                    <w:pStyle w:val="BodyText"/>
                    <w:spacing w:before="23"/>
                    <w:ind w:left="0" w:right="-15"/>
                    <w:rPr>
                      <w:color w:val="000000"/>
                    </w:rPr>
                  </w:pPr>
                  <w:r>
                    <w:rPr>
                      <w:color w:val="000000"/>
                      <w:spacing w:val="-5"/>
                    </w:rPr>
                    <w:t>组织病理学检查。</w:t>
                  </w:r>
                </w:p>
              </w:txbxContent>
            </v:textbox>
            <v:fill type="solid"/>
          </v:shape>
        </w:pict>
      </w:r>
      <w:r>
        <w:rPr>
          <w:sz w:val="20"/>
        </w:rPr>
      </w:r>
    </w:p>
    <w:p>
      <w:pPr>
        <w:spacing w:before="36"/>
        <w:ind w:left="238" w:right="0" w:firstLine="0"/>
        <w:jc w:val="both"/>
        <w:rPr>
          <w:sz w:val="21"/>
        </w:rPr>
      </w:pPr>
      <w:r>
        <w:rPr>
          <w:sz w:val="21"/>
        </w:rPr>
        <w:t>（十二）</w:t>
      </w:r>
      <w:r>
        <w:rPr>
          <w:b/>
          <w:sz w:val="21"/>
        </w:rPr>
        <w:t>ICD-10</w:t>
      </w:r>
      <w:r>
        <w:rPr>
          <w:b/>
          <w:spacing w:val="6"/>
          <w:sz w:val="21"/>
        </w:rPr>
        <w:t> 与 </w:t>
      </w:r>
      <w:r>
        <w:rPr>
          <w:b/>
          <w:sz w:val="21"/>
        </w:rPr>
        <w:t>ICD-O-3</w:t>
      </w:r>
      <w:r>
        <w:rPr>
          <w:b/>
          <w:spacing w:val="-85"/>
          <w:sz w:val="21"/>
        </w:rPr>
        <w:t> </w:t>
      </w:r>
      <w:r>
        <w:rPr>
          <w:spacing w:val="6"/>
          <w:sz w:val="21"/>
        </w:rPr>
        <w:t>：《疾病和有关健康问题的国际统计分类》第十次修订版</w:t>
      </w:r>
    </w:p>
    <w:p>
      <w:pPr>
        <w:pStyle w:val="BodyText"/>
        <w:spacing w:line="278" w:lineRule="auto" w:before="43"/>
        <w:ind w:left="1082" w:right="1548"/>
        <w:jc w:val="both"/>
      </w:pPr>
      <w:r>
        <w:rPr>
          <w:spacing w:val="-4"/>
        </w:rPr>
        <w:t>（ICD-</w:t>
      </w:r>
      <w:r>
        <w:rPr>
          <w:spacing w:val="22"/>
        </w:rPr>
        <w:t>10</w:t>
      </w:r>
      <w:r>
        <w:rPr>
          <w:spacing w:val="-84"/>
        </w:rPr>
        <w:t>）</w:t>
      </w:r>
      <w:r>
        <w:rPr>
          <w:spacing w:val="-3"/>
        </w:rPr>
        <w:t>，是世界卫生组织</w:t>
      </w:r>
      <w:r>
        <w:rPr>
          <w:spacing w:val="-4"/>
        </w:rPr>
        <w:t>（WHO）</w:t>
      </w:r>
      <w:r>
        <w:rPr>
          <w:spacing w:val="-11"/>
        </w:rPr>
        <w:t>发布的国际通用的疾病分类方法。《国际疾病</w:t>
      </w:r>
      <w:r>
        <w:rPr>
          <w:spacing w:val="-4"/>
        </w:rPr>
        <w:t>分类肿瘤学专辑》第三版（ICD-O-</w:t>
      </w:r>
      <w:r>
        <w:rPr>
          <w:spacing w:val="42"/>
        </w:rPr>
        <w:t>3</w:t>
      </w:r>
      <w:r>
        <w:rPr>
          <w:spacing w:val="-66"/>
        </w:rPr>
        <w:t>）</w:t>
      </w:r>
      <w:r>
        <w:rPr>
          <w:spacing w:val="-4"/>
        </w:rPr>
        <w:t>，是 WHO</w:t>
      </w:r>
      <w:r>
        <w:rPr>
          <w:spacing w:val="-9"/>
        </w:rPr>
        <w:t> 发布的针对 </w:t>
      </w:r>
      <w:r>
        <w:rPr>
          <w:spacing w:val="-4"/>
        </w:rPr>
        <w:t>ICD</w:t>
      </w:r>
      <w:r>
        <w:rPr>
          <w:spacing w:val="-7"/>
        </w:rPr>
        <w:t> 中肿瘤形态学组织</w:t>
      </w:r>
      <w:r>
        <w:rPr/>
        <w:t>学细胞类型、动态、分化程度的补充编码。其中形态学编码：0</w:t>
      </w:r>
      <w:r>
        <w:rPr>
          <w:spacing w:val="-4"/>
        </w:rPr>
        <w:t> 代表良性肿瘤</w:t>
      </w:r>
      <w:r>
        <w:rPr/>
        <w:t>；1</w:t>
      </w:r>
      <w:r>
        <w:rPr>
          <w:spacing w:val="-6"/>
        </w:rPr>
        <w:t>代表动态未定性肿瘤；2 代表原位癌和非侵袭性癌；3 代表恶性肿瘤（原发性</w:t>
      </w:r>
      <w:r>
        <w:rPr>
          <w:spacing w:val="-77"/>
        </w:rPr>
        <w:t>）</w:t>
      </w:r>
      <w:r>
        <w:rPr>
          <w:spacing w:val="29"/>
        </w:rPr>
        <w:t>；6</w:t>
      </w:r>
      <w:r>
        <w:rPr/>
        <w:t>代表恶性肿瘤（转移性</w:t>
      </w:r>
      <w:r>
        <w:rPr>
          <w:spacing w:val="-68"/>
        </w:rPr>
        <w:t>）</w:t>
      </w:r>
      <w:r>
        <w:rPr>
          <w:spacing w:val="33"/>
        </w:rPr>
        <w:t>；9</w:t>
      </w:r>
      <w:r>
        <w:rPr>
          <w:spacing w:val="-5"/>
        </w:rPr>
        <w:t> 代表恶性肿瘤</w:t>
      </w:r>
      <w:r>
        <w:rPr/>
        <w:t>（原发性或转移性未肯定</w:t>
      </w:r>
      <w:r>
        <w:rPr>
          <w:spacing w:val="-101"/>
        </w:rPr>
        <w:t>）</w:t>
      </w:r>
      <w:r>
        <w:rPr/>
        <w:t>。如果出现 ICD-10</w:t>
      </w:r>
      <w:r>
        <w:rPr>
          <w:spacing w:val="-10"/>
        </w:rPr>
        <w:t> 与 </w:t>
      </w:r>
      <w:r>
        <w:rPr/>
        <w:t>ICD-O-3</w:t>
      </w:r>
      <w:r>
        <w:rPr>
          <w:spacing w:val="-8"/>
        </w:rPr>
        <w:t> 不一致的情况，以 </w:t>
      </w:r>
      <w:r>
        <w:rPr/>
        <w:t>ICD-O-3</w:t>
      </w:r>
      <w:r>
        <w:rPr>
          <w:spacing w:val="-8"/>
        </w:rPr>
        <w:t> 为准。</w:t>
      </w:r>
    </w:p>
    <w:p>
      <w:pPr>
        <w:pStyle w:val="BodyText"/>
        <w:spacing w:line="278" w:lineRule="auto"/>
        <w:ind w:left="1082" w:right="1548" w:hanging="845"/>
        <w:jc w:val="both"/>
      </w:pPr>
      <w:r>
        <w:rPr/>
        <w:t>（十三）</w:t>
      </w:r>
      <w:r>
        <w:rPr>
          <w:b/>
        </w:rPr>
        <w:t>TNM</w:t>
      </w:r>
      <w:r>
        <w:rPr>
          <w:b/>
          <w:spacing w:val="-10"/>
        </w:rPr>
        <w:t> 分期</w:t>
      </w:r>
      <w:r>
        <w:rPr/>
        <w:t>：TNM</w:t>
      </w:r>
      <w:r>
        <w:rPr>
          <w:spacing w:val="-10"/>
        </w:rPr>
        <w:t> 分期采用 </w:t>
      </w:r>
      <w:r>
        <w:rPr/>
        <w:t>AJCC</w:t>
      </w:r>
      <w:r>
        <w:rPr>
          <w:spacing w:val="-6"/>
        </w:rPr>
        <w:t> 癌症分期手册标准。该标准由美国癌症联合委员会</w:t>
      </w:r>
      <w:r>
        <w:rPr>
          <w:spacing w:val="-5"/>
        </w:rPr>
        <w:t>与国际抗癌联合会 </w:t>
      </w:r>
      <w:r>
        <w:rPr>
          <w:spacing w:val="-2"/>
        </w:rPr>
        <w:t>TNM</w:t>
      </w:r>
      <w:r>
        <w:rPr>
          <w:spacing w:val="-7"/>
        </w:rPr>
        <w:t> 委员会联合制定，是目前肿瘤医学分期的国际通用标准。</w:t>
      </w:r>
      <w:r>
        <w:rPr>
          <w:spacing w:val="-2"/>
        </w:rPr>
        <w:t>T</w:t>
      </w:r>
      <w:r>
        <w:rPr>
          <w:spacing w:val="-2"/>
        </w:rPr>
        <w:t>指原发肿瘤的大小、形态等；N</w:t>
      </w:r>
      <w:r>
        <w:rPr>
          <w:spacing w:val="-7"/>
        </w:rPr>
        <w:t> 指淋巴结的转移情况</w:t>
      </w:r>
      <w:r>
        <w:rPr>
          <w:spacing w:val="-2"/>
        </w:rPr>
        <w:t>；M</w:t>
      </w:r>
      <w:r>
        <w:rPr>
          <w:spacing w:val="-7"/>
        </w:rPr>
        <w:t> 指有无其他脏器的转移情</w:t>
      </w:r>
      <w:r>
        <w:rPr>
          <w:spacing w:val="-6"/>
        </w:rPr>
        <w:t>况。</w:t>
      </w:r>
    </w:p>
    <w:p>
      <w:pPr>
        <w:pStyle w:val="BodyText"/>
        <w:spacing w:line="278" w:lineRule="auto"/>
        <w:ind w:left="1082" w:right="1445" w:hanging="845"/>
      </w:pPr>
      <w:r>
        <w:rPr/>
        <w:t>（十四）</w:t>
      </w:r>
      <w:r>
        <w:rPr>
          <w:b/>
          <w:spacing w:val="-9"/>
        </w:rPr>
        <w:t>甲状腺癌的 </w:t>
      </w:r>
      <w:r>
        <w:rPr>
          <w:b/>
        </w:rPr>
        <w:t>TNM</w:t>
      </w:r>
      <w:r>
        <w:rPr>
          <w:b/>
          <w:spacing w:val="-18"/>
        </w:rPr>
        <w:t> 分期</w:t>
      </w:r>
      <w:r>
        <w:rPr>
          <w:spacing w:val="-23"/>
        </w:rPr>
        <w:t>：甲状腺癌的 </w:t>
      </w:r>
      <w:r>
        <w:rPr/>
        <w:t>TNM</w:t>
      </w:r>
      <w:r>
        <w:rPr>
          <w:spacing w:val="-13"/>
        </w:rPr>
        <w:t> 分期采用目前现行的 </w:t>
      </w:r>
      <w:r>
        <w:rPr/>
        <w:t>AJCC</w:t>
      </w:r>
      <w:r>
        <w:rPr>
          <w:spacing w:val="-8"/>
        </w:rPr>
        <w:t> 第八版定义标准，</w:t>
      </w:r>
      <w:r>
        <w:rPr>
          <w:spacing w:val="-1"/>
        </w:rPr>
        <w:t>我国国家卫生健康委员会 </w:t>
      </w:r>
      <w:r>
        <w:rPr/>
        <w:t>2018</w:t>
      </w:r>
      <w:r>
        <w:rPr>
          <w:spacing w:val="-3"/>
        </w:rPr>
        <w:t> 年发布的《甲状腺癌诊疗规范</w:t>
      </w:r>
      <w:r>
        <w:rPr/>
        <w:t>（2018</w:t>
      </w:r>
      <w:r>
        <w:rPr>
          <w:spacing w:val="-2"/>
        </w:rPr>
        <w:t> 年版</w:t>
      </w:r>
      <w:r>
        <w:rPr>
          <w:spacing w:val="-106"/>
        </w:rPr>
        <w:t>）</w:t>
      </w:r>
      <w:r>
        <w:rPr/>
        <w:t>》也采</w:t>
      </w:r>
      <w:r>
        <w:rPr>
          <w:spacing w:val="-2"/>
        </w:rPr>
        <w:t>用此定义标准，具体见下：</w:t>
      </w:r>
    </w:p>
    <w:p>
      <w:pPr>
        <w:spacing w:after="0" w:line="278" w:lineRule="auto"/>
        <w:sectPr>
          <w:pgSz w:w="11910" w:h="16840"/>
          <w:pgMar w:header="0" w:footer="1005" w:top="1400" w:bottom="1200" w:left="1560" w:right="240"/>
        </w:sectPr>
      </w:pPr>
    </w:p>
    <w:p>
      <w:pPr>
        <w:spacing w:line="324" w:lineRule="auto" w:before="60"/>
        <w:ind w:left="1082" w:right="3800" w:firstLine="0"/>
        <w:jc w:val="left"/>
        <w:rPr>
          <w:sz w:val="18"/>
        </w:rPr>
      </w:pPr>
      <w:r>
        <w:rPr>
          <w:sz w:val="18"/>
        </w:rPr>
        <w:t>甲状腺乳头状癌、滤泡癌、低分化癌、Hürthle</w:t>
      </w:r>
      <w:r>
        <w:rPr>
          <w:spacing w:val="-5"/>
          <w:sz w:val="18"/>
        </w:rPr>
        <w:t> 细胞癌和未分化癌</w:t>
      </w:r>
      <w:r>
        <w:rPr>
          <w:sz w:val="18"/>
        </w:rPr>
        <w:t> </w:t>
      </w:r>
      <w:r>
        <w:rPr>
          <w:spacing w:val="-2"/>
          <w:position w:val="1"/>
          <w:sz w:val="18"/>
        </w:rPr>
        <w:t>pT</w:t>
      </w:r>
      <w:r>
        <w:rPr>
          <w:spacing w:val="-2"/>
          <w:sz w:val="9"/>
        </w:rPr>
        <w:t>X</w:t>
      </w:r>
      <w:r>
        <w:rPr>
          <w:spacing w:val="-2"/>
          <w:position w:val="1"/>
          <w:sz w:val="18"/>
        </w:rPr>
        <w:t>：原发肿瘤不能评估</w:t>
      </w:r>
    </w:p>
    <w:p>
      <w:pPr>
        <w:spacing w:line="324" w:lineRule="auto" w:before="1"/>
        <w:ind w:left="1082" w:right="5821" w:firstLine="0"/>
        <w:jc w:val="left"/>
        <w:rPr>
          <w:sz w:val="18"/>
        </w:rPr>
      </w:pPr>
      <w:r>
        <w:rPr>
          <w:spacing w:val="-2"/>
          <w:position w:val="1"/>
          <w:sz w:val="18"/>
        </w:rPr>
        <w:t>pT</w:t>
      </w:r>
      <w:r>
        <w:rPr>
          <w:spacing w:val="-2"/>
          <w:sz w:val="9"/>
        </w:rPr>
        <w:t>0</w:t>
      </w:r>
      <w:r>
        <w:rPr>
          <w:spacing w:val="-2"/>
          <w:position w:val="1"/>
          <w:sz w:val="18"/>
        </w:rPr>
        <w:t>：无肿瘤证据</w:t>
      </w:r>
      <w:r>
        <w:rPr>
          <w:spacing w:val="80"/>
          <w:w w:val="150"/>
          <w:position w:val="1"/>
          <w:sz w:val="18"/>
        </w:rPr>
        <w:t>        </w:t>
      </w:r>
      <w:r>
        <w:rPr>
          <w:spacing w:val="-2"/>
          <w:position w:val="1"/>
          <w:sz w:val="18"/>
        </w:rPr>
        <w:t>pT</w:t>
      </w:r>
      <w:r>
        <w:rPr>
          <w:spacing w:val="-2"/>
          <w:sz w:val="9"/>
        </w:rPr>
        <w:t>1</w:t>
      </w:r>
      <w:r>
        <w:rPr>
          <w:spacing w:val="-2"/>
          <w:position w:val="1"/>
          <w:sz w:val="18"/>
        </w:rPr>
        <w:t>：肿瘤局限在甲状腺内，最大径≤2cm</w:t>
      </w:r>
    </w:p>
    <w:p>
      <w:pPr>
        <w:spacing w:before="1"/>
        <w:ind w:left="1514" w:right="0" w:firstLine="0"/>
        <w:jc w:val="left"/>
        <w:rPr>
          <w:sz w:val="18"/>
        </w:rPr>
      </w:pPr>
      <w:r>
        <w:rPr>
          <w:position w:val="1"/>
          <w:sz w:val="18"/>
        </w:rPr>
        <w:t>T</w:t>
      </w:r>
      <w:r>
        <w:rPr>
          <w:sz w:val="9"/>
        </w:rPr>
        <w:t>1a</w:t>
      </w:r>
      <w:r>
        <w:rPr>
          <w:spacing w:val="-23"/>
          <w:sz w:val="9"/>
        </w:rPr>
        <w:t> </w:t>
      </w:r>
      <w:r>
        <w:rPr>
          <w:spacing w:val="-1"/>
          <w:position w:val="1"/>
          <w:sz w:val="18"/>
        </w:rPr>
        <w:t>肿瘤最大径≤</w:t>
      </w:r>
      <w:r>
        <w:rPr>
          <w:spacing w:val="-4"/>
          <w:position w:val="1"/>
          <w:sz w:val="18"/>
        </w:rPr>
        <w:t>1cm</w:t>
      </w:r>
    </w:p>
    <w:p>
      <w:pPr>
        <w:spacing w:line="324" w:lineRule="auto" w:before="82"/>
        <w:ind w:left="1082" w:right="6403" w:firstLine="432"/>
        <w:jc w:val="left"/>
        <w:rPr>
          <w:sz w:val="18"/>
        </w:rPr>
      </w:pPr>
      <w:r>
        <w:rPr>
          <w:spacing w:val="-2"/>
          <w:position w:val="1"/>
          <w:sz w:val="18"/>
        </w:rPr>
        <w:t>T</w:t>
      </w:r>
      <w:r>
        <w:rPr>
          <w:spacing w:val="-2"/>
          <w:sz w:val="9"/>
        </w:rPr>
        <w:t>1b</w:t>
      </w:r>
      <w:r>
        <w:rPr>
          <w:spacing w:val="-24"/>
          <w:sz w:val="9"/>
        </w:rPr>
        <w:t> </w:t>
      </w:r>
      <w:r>
        <w:rPr>
          <w:spacing w:val="-2"/>
          <w:position w:val="1"/>
          <w:sz w:val="18"/>
        </w:rPr>
        <w:t>肿瘤最大径＞1cm，≤2cm </w:t>
      </w:r>
      <w:r>
        <w:rPr>
          <w:position w:val="1"/>
          <w:sz w:val="18"/>
        </w:rPr>
        <w:t>pT</w:t>
      </w:r>
      <w:r>
        <w:rPr>
          <w:sz w:val="9"/>
        </w:rPr>
        <w:t>2</w:t>
      </w:r>
      <w:r>
        <w:rPr>
          <w:position w:val="1"/>
          <w:sz w:val="18"/>
        </w:rPr>
        <w:t>：肿瘤 2～4cm</w:t>
      </w:r>
    </w:p>
    <w:p>
      <w:pPr>
        <w:spacing w:line="324" w:lineRule="auto" w:before="1"/>
        <w:ind w:left="1082" w:right="4295" w:firstLine="0"/>
        <w:jc w:val="left"/>
        <w:rPr>
          <w:sz w:val="18"/>
        </w:rPr>
      </w:pPr>
      <w:r>
        <w:rPr>
          <w:spacing w:val="-2"/>
          <w:position w:val="1"/>
          <w:sz w:val="18"/>
        </w:rPr>
        <w:t>pT</w:t>
      </w:r>
      <w:r>
        <w:rPr>
          <w:spacing w:val="-2"/>
          <w:sz w:val="9"/>
        </w:rPr>
        <w:t>3</w:t>
      </w:r>
      <w:r>
        <w:rPr>
          <w:spacing w:val="-2"/>
          <w:position w:val="1"/>
          <w:sz w:val="18"/>
        </w:rPr>
        <w:t>：肿瘤&gt;4cm，局限于甲状腺内或大体侵犯甲状腺外带状肌 pT</w:t>
      </w:r>
      <w:r>
        <w:rPr>
          <w:spacing w:val="-2"/>
          <w:sz w:val="9"/>
        </w:rPr>
        <w:t>3a</w:t>
      </w:r>
      <w:r>
        <w:rPr>
          <w:spacing w:val="-2"/>
          <w:position w:val="1"/>
          <w:sz w:val="18"/>
        </w:rPr>
        <w:t>：肿瘤&gt;4cm，局限于甲状腺内</w:t>
      </w:r>
      <w:r>
        <w:rPr>
          <w:spacing w:val="80"/>
          <w:w w:val="150"/>
          <w:position w:val="1"/>
          <w:sz w:val="18"/>
        </w:rPr>
        <w:t>         </w:t>
      </w:r>
      <w:r>
        <w:rPr>
          <w:spacing w:val="-2"/>
          <w:position w:val="1"/>
          <w:sz w:val="18"/>
        </w:rPr>
        <w:t>pT</w:t>
      </w:r>
      <w:r>
        <w:rPr>
          <w:spacing w:val="-2"/>
          <w:sz w:val="9"/>
        </w:rPr>
        <w:t>3b</w:t>
      </w:r>
      <w:r>
        <w:rPr>
          <w:spacing w:val="-2"/>
          <w:position w:val="1"/>
          <w:sz w:val="18"/>
        </w:rPr>
        <w:t>：大体侵犯甲状腺外带状肌，无论肿瘤大小</w:t>
      </w:r>
    </w:p>
    <w:p>
      <w:pPr>
        <w:spacing w:line="324" w:lineRule="auto" w:before="2"/>
        <w:ind w:left="1082" w:right="3801" w:firstLine="0"/>
        <w:jc w:val="left"/>
        <w:rPr>
          <w:sz w:val="18"/>
        </w:rPr>
      </w:pPr>
      <w:r>
        <w:rPr>
          <w:spacing w:val="-2"/>
          <w:sz w:val="18"/>
        </w:rPr>
        <w:t>带状肌包括：胸骨舌骨肌、胸骨甲状肌、甲状舌骨肌、肩胛舌骨肌 </w:t>
      </w:r>
      <w:r>
        <w:rPr>
          <w:spacing w:val="-2"/>
          <w:position w:val="1"/>
          <w:sz w:val="18"/>
        </w:rPr>
        <w:t>pT</w:t>
      </w:r>
      <w:r>
        <w:rPr>
          <w:spacing w:val="-2"/>
          <w:sz w:val="9"/>
        </w:rPr>
        <w:t>4</w:t>
      </w:r>
      <w:r>
        <w:rPr>
          <w:spacing w:val="-2"/>
          <w:position w:val="1"/>
          <w:sz w:val="18"/>
        </w:rPr>
        <w:t>：大体侵犯甲状腺外带状肌外</w:t>
      </w:r>
    </w:p>
    <w:p>
      <w:pPr>
        <w:spacing w:line="326" w:lineRule="auto" w:before="1"/>
        <w:ind w:left="1082" w:right="4970" w:firstLine="0"/>
        <w:jc w:val="left"/>
        <w:rPr>
          <w:sz w:val="18"/>
        </w:rPr>
      </w:pPr>
      <w:r>
        <w:rPr>
          <w:spacing w:val="-2"/>
          <w:position w:val="1"/>
          <w:sz w:val="18"/>
        </w:rPr>
        <w:t>pT</w:t>
      </w:r>
      <w:r>
        <w:rPr>
          <w:spacing w:val="-2"/>
          <w:sz w:val="9"/>
        </w:rPr>
        <w:t>4a</w:t>
      </w:r>
      <w:r>
        <w:rPr>
          <w:spacing w:val="-2"/>
          <w:position w:val="1"/>
          <w:sz w:val="18"/>
        </w:rPr>
        <w:t>：侵犯喉、气管、食管、喉反神经及皮下软组织 pT</w:t>
      </w:r>
      <w:r>
        <w:rPr>
          <w:spacing w:val="-2"/>
          <w:sz w:val="9"/>
        </w:rPr>
        <w:t>4b</w:t>
      </w:r>
      <w:r>
        <w:rPr>
          <w:spacing w:val="-2"/>
          <w:position w:val="1"/>
          <w:sz w:val="18"/>
        </w:rPr>
        <w:t>：侵犯椎前筋膜，或包裹颈动脉、纵隔血管</w:t>
      </w:r>
    </w:p>
    <w:p>
      <w:pPr>
        <w:spacing w:line="324" w:lineRule="auto" w:before="0"/>
        <w:ind w:left="1082" w:right="7173" w:firstLine="0"/>
        <w:jc w:val="left"/>
        <w:rPr>
          <w:sz w:val="18"/>
        </w:rPr>
      </w:pPr>
      <w:r>
        <w:rPr>
          <w:spacing w:val="-2"/>
          <w:sz w:val="18"/>
        </w:rPr>
        <w:t>甲状腺髓样癌</w:t>
      </w:r>
      <w:r>
        <w:rPr>
          <w:spacing w:val="80"/>
          <w:sz w:val="18"/>
        </w:rPr>
        <w:t>   </w:t>
      </w:r>
      <w:r>
        <w:rPr>
          <w:spacing w:val="-2"/>
          <w:position w:val="1"/>
          <w:sz w:val="18"/>
        </w:rPr>
        <w:t>pT</w:t>
      </w:r>
      <w:r>
        <w:rPr>
          <w:spacing w:val="-2"/>
          <w:sz w:val="9"/>
        </w:rPr>
        <w:t>X</w:t>
      </w:r>
      <w:r>
        <w:rPr>
          <w:spacing w:val="-2"/>
          <w:position w:val="1"/>
          <w:sz w:val="18"/>
        </w:rPr>
        <w:t>：原发肿瘤不能评估 pT</w:t>
      </w:r>
      <w:r>
        <w:rPr>
          <w:spacing w:val="-2"/>
          <w:sz w:val="9"/>
        </w:rPr>
        <w:t>0</w:t>
      </w:r>
      <w:r>
        <w:rPr>
          <w:spacing w:val="-2"/>
          <w:position w:val="1"/>
          <w:sz w:val="18"/>
        </w:rPr>
        <w:t>：无肿瘤证据</w:t>
      </w:r>
    </w:p>
    <w:p>
      <w:pPr>
        <w:spacing w:line="324" w:lineRule="auto" w:before="0"/>
        <w:ind w:left="1507" w:right="5821" w:hanging="425"/>
        <w:jc w:val="left"/>
        <w:rPr>
          <w:sz w:val="18"/>
        </w:rPr>
      </w:pPr>
      <w:r>
        <w:rPr>
          <w:spacing w:val="-2"/>
          <w:position w:val="1"/>
          <w:sz w:val="18"/>
        </w:rPr>
        <w:t>pT</w:t>
      </w:r>
      <w:r>
        <w:rPr>
          <w:spacing w:val="-2"/>
          <w:sz w:val="9"/>
        </w:rPr>
        <w:t>1</w:t>
      </w:r>
      <w:r>
        <w:rPr>
          <w:spacing w:val="-2"/>
          <w:position w:val="1"/>
          <w:sz w:val="18"/>
        </w:rPr>
        <w:t>：肿瘤局限在甲状腺内，最大径≤2c</w:t>
      </w:r>
      <w:r>
        <w:rPr>
          <w:spacing w:val="-2"/>
          <w:position w:val="1"/>
          <w:sz w:val="18"/>
        </w:rPr>
        <w:t>m </w:t>
      </w:r>
      <w:r>
        <w:rPr>
          <w:position w:val="1"/>
          <w:sz w:val="18"/>
        </w:rPr>
        <w:t>T</w:t>
      </w:r>
      <w:r>
        <w:rPr>
          <w:sz w:val="9"/>
        </w:rPr>
        <w:t>1a</w:t>
      </w:r>
      <w:r>
        <w:rPr>
          <w:spacing w:val="-24"/>
          <w:sz w:val="9"/>
        </w:rPr>
        <w:t> </w:t>
      </w:r>
      <w:r>
        <w:rPr>
          <w:position w:val="1"/>
          <w:sz w:val="18"/>
        </w:rPr>
        <w:t>肿瘤最大径≤1cm</w:t>
      </w:r>
    </w:p>
    <w:p>
      <w:pPr>
        <w:spacing w:line="324" w:lineRule="auto" w:before="1"/>
        <w:ind w:left="1082" w:right="6403" w:firstLine="424"/>
        <w:jc w:val="left"/>
        <w:rPr>
          <w:sz w:val="18"/>
        </w:rPr>
      </w:pPr>
      <w:r>
        <w:rPr>
          <w:position w:val="1"/>
          <w:sz w:val="18"/>
        </w:rPr>
        <w:t>T</w:t>
      </w:r>
      <w:r>
        <w:rPr>
          <w:sz w:val="9"/>
        </w:rPr>
        <w:t>1b</w:t>
      </w:r>
      <w:r>
        <w:rPr>
          <w:spacing w:val="-24"/>
          <w:sz w:val="9"/>
        </w:rPr>
        <w:t> </w:t>
      </w:r>
      <w:r>
        <w:rPr>
          <w:position w:val="1"/>
          <w:sz w:val="18"/>
        </w:rPr>
        <w:t>肿瘤最大径＞1cm，≤2cm pT</w:t>
      </w:r>
      <w:r>
        <w:rPr>
          <w:sz w:val="9"/>
        </w:rPr>
        <w:t>2</w:t>
      </w:r>
      <w:r>
        <w:rPr>
          <w:position w:val="1"/>
          <w:sz w:val="18"/>
        </w:rPr>
        <w:t>：肿瘤 2～4cm</w:t>
      </w:r>
    </w:p>
    <w:p>
      <w:pPr>
        <w:spacing w:line="324" w:lineRule="auto" w:before="1"/>
        <w:ind w:left="1082" w:right="4295" w:firstLine="0"/>
        <w:jc w:val="left"/>
        <w:rPr>
          <w:sz w:val="18"/>
        </w:rPr>
      </w:pPr>
      <w:r>
        <w:rPr>
          <w:spacing w:val="-2"/>
          <w:position w:val="1"/>
          <w:sz w:val="18"/>
        </w:rPr>
        <w:t>pT</w:t>
      </w:r>
      <w:r>
        <w:rPr>
          <w:spacing w:val="-2"/>
          <w:sz w:val="9"/>
        </w:rPr>
        <w:t>3</w:t>
      </w:r>
      <w:r>
        <w:rPr>
          <w:spacing w:val="-2"/>
          <w:position w:val="1"/>
          <w:sz w:val="18"/>
        </w:rPr>
        <w:t>：肿瘤&gt;4cm，局限于甲状腺内或大体侵犯甲状腺外带状肌 pT</w:t>
      </w:r>
      <w:r>
        <w:rPr>
          <w:spacing w:val="-2"/>
          <w:sz w:val="9"/>
        </w:rPr>
        <w:t>3a</w:t>
      </w:r>
      <w:r>
        <w:rPr>
          <w:spacing w:val="-2"/>
          <w:position w:val="1"/>
          <w:sz w:val="18"/>
        </w:rPr>
        <w:t>：肿瘤&gt;4cm，局限于甲状腺内</w:t>
      </w:r>
      <w:r>
        <w:rPr>
          <w:spacing w:val="80"/>
          <w:w w:val="150"/>
          <w:position w:val="1"/>
          <w:sz w:val="18"/>
        </w:rPr>
        <w:t>         </w:t>
      </w:r>
      <w:r>
        <w:rPr>
          <w:spacing w:val="-2"/>
          <w:position w:val="1"/>
          <w:sz w:val="18"/>
        </w:rPr>
        <w:t>pT</w:t>
      </w:r>
      <w:r>
        <w:rPr>
          <w:spacing w:val="-2"/>
          <w:sz w:val="9"/>
        </w:rPr>
        <w:t>3b</w:t>
      </w:r>
      <w:r>
        <w:rPr>
          <w:spacing w:val="-2"/>
          <w:position w:val="1"/>
          <w:sz w:val="18"/>
        </w:rPr>
        <w:t>：大体侵犯甲状腺外带状肌，无论肿瘤大小</w:t>
      </w:r>
    </w:p>
    <w:p>
      <w:pPr>
        <w:spacing w:line="324" w:lineRule="auto" w:before="3"/>
        <w:ind w:left="1082" w:right="3373" w:firstLine="429"/>
        <w:jc w:val="left"/>
        <w:rPr>
          <w:sz w:val="18"/>
        </w:rPr>
      </w:pPr>
      <w:r>
        <w:rPr>
          <w:spacing w:val="-2"/>
          <w:sz w:val="18"/>
        </w:rPr>
        <w:t>带状肌包括：胸骨舌骨肌、胸骨甲状肌、甲状舌骨肌、肩胛舌骨肌 </w:t>
      </w:r>
      <w:r>
        <w:rPr>
          <w:spacing w:val="-2"/>
          <w:position w:val="1"/>
          <w:sz w:val="18"/>
        </w:rPr>
        <w:t>pT</w:t>
      </w:r>
      <w:r>
        <w:rPr>
          <w:spacing w:val="-2"/>
          <w:sz w:val="9"/>
        </w:rPr>
        <w:t>4</w:t>
      </w:r>
      <w:r>
        <w:rPr>
          <w:spacing w:val="-2"/>
          <w:position w:val="1"/>
          <w:sz w:val="18"/>
        </w:rPr>
        <w:t>：进展期病变</w:t>
      </w:r>
    </w:p>
    <w:p>
      <w:pPr>
        <w:spacing w:line="324" w:lineRule="auto" w:before="1"/>
        <w:ind w:left="1082" w:right="1550" w:firstLine="0"/>
        <w:jc w:val="left"/>
        <w:rPr>
          <w:sz w:val="18"/>
        </w:rPr>
      </w:pPr>
      <w:r>
        <w:rPr>
          <w:spacing w:val="-2"/>
          <w:position w:val="1"/>
          <w:sz w:val="18"/>
        </w:rPr>
        <w:t>pT</w:t>
      </w:r>
      <w:r>
        <w:rPr>
          <w:spacing w:val="-2"/>
          <w:sz w:val="9"/>
        </w:rPr>
        <w:t>4a</w:t>
      </w:r>
      <w:r>
        <w:rPr>
          <w:spacing w:val="-2"/>
          <w:position w:val="1"/>
          <w:sz w:val="18"/>
        </w:rPr>
        <w:t>：中度进展，任何大小的肿瘤，侵犯甲状腺外颈部周围器官和软组织，如喉、气管、食管、</w:t>
      </w:r>
      <w:r>
        <w:rPr>
          <w:spacing w:val="-2"/>
          <w:sz w:val="18"/>
        </w:rPr>
        <w:t>喉反神经及皮下软组织</w:t>
      </w:r>
    </w:p>
    <w:p>
      <w:pPr>
        <w:spacing w:line="324" w:lineRule="auto" w:before="1"/>
        <w:ind w:left="1082" w:right="2990" w:firstLine="0"/>
        <w:jc w:val="left"/>
        <w:rPr>
          <w:sz w:val="18"/>
        </w:rPr>
      </w:pPr>
      <w:r>
        <w:rPr>
          <w:spacing w:val="-2"/>
          <w:position w:val="1"/>
          <w:sz w:val="18"/>
        </w:rPr>
        <w:t>pT</w:t>
      </w:r>
      <w:r>
        <w:rPr>
          <w:spacing w:val="-2"/>
          <w:sz w:val="9"/>
        </w:rPr>
        <w:t>4b</w:t>
      </w:r>
      <w:r>
        <w:rPr>
          <w:spacing w:val="-2"/>
          <w:position w:val="1"/>
          <w:sz w:val="18"/>
        </w:rPr>
        <w:t>：重度进展，任何大小的肿瘤，侵犯椎前筋膜，或包裹颈动脉、纵隔血管</w:t>
      </w:r>
      <w:r>
        <w:rPr>
          <w:spacing w:val="-2"/>
          <w:sz w:val="18"/>
        </w:rPr>
        <w:t>区域淋巴结：适用于所有甲状腺癌</w:t>
      </w:r>
    </w:p>
    <w:p>
      <w:pPr>
        <w:spacing w:line="324" w:lineRule="auto" w:before="2"/>
        <w:ind w:left="1082" w:right="6960" w:firstLine="0"/>
        <w:jc w:val="left"/>
        <w:rPr>
          <w:sz w:val="18"/>
        </w:rPr>
      </w:pPr>
      <w:r>
        <w:rPr>
          <w:spacing w:val="-2"/>
          <w:sz w:val="18"/>
        </w:rPr>
        <w:t>pN</w:t>
      </w:r>
      <w:r>
        <w:rPr>
          <w:spacing w:val="-2"/>
          <w:sz w:val="16"/>
        </w:rPr>
        <w:t>x</w:t>
      </w:r>
      <w:r>
        <w:rPr>
          <w:spacing w:val="-2"/>
          <w:sz w:val="18"/>
        </w:rPr>
        <w:t>：区域淋巴结无法评估 </w:t>
      </w:r>
      <w:r>
        <w:rPr>
          <w:spacing w:val="-2"/>
          <w:position w:val="1"/>
          <w:sz w:val="18"/>
        </w:rPr>
        <w:t>pN</w:t>
      </w:r>
      <w:r>
        <w:rPr>
          <w:spacing w:val="-2"/>
          <w:sz w:val="9"/>
        </w:rPr>
        <w:t>0</w:t>
      </w:r>
      <w:r>
        <w:rPr>
          <w:spacing w:val="-2"/>
          <w:position w:val="1"/>
          <w:sz w:val="18"/>
        </w:rPr>
        <w:t>：无淋巴结转移证据</w:t>
      </w:r>
      <w:r>
        <w:rPr>
          <w:spacing w:val="-2"/>
          <w:position w:val="1"/>
          <w:sz w:val="18"/>
        </w:rPr>
        <w:t> pN</w:t>
      </w:r>
      <w:r>
        <w:rPr>
          <w:spacing w:val="-2"/>
          <w:sz w:val="9"/>
        </w:rPr>
        <w:t>1</w:t>
      </w:r>
      <w:r>
        <w:rPr>
          <w:spacing w:val="-2"/>
          <w:position w:val="1"/>
          <w:sz w:val="18"/>
        </w:rPr>
        <w:t>：区域淋巴结转移</w:t>
      </w:r>
    </w:p>
    <w:p>
      <w:pPr>
        <w:spacing w:line="316" w:lineRule="auto" w:before="9"/>
        <w:ind w:left="1082" w:right="1551" w:firstLine="0"/>
        <w:jc w:val="left"/>
        <w:rPr>
          <w:sz w:val="18"/>
        </w:rPr>
      </w:pPr>
      <w:r>
        <w:rPr>
          <w:position w:val="1"/>
          <w:sz w:val="18"/>
        </w:rPr>
        <w:t>pN</w:t>
      </w:r>
      <w:r>
        <w:rPr>
          <w:sz w:val="9"/>
        </w:rPr>
        <w:t>1</w:t>
      </w:r>
      <w:r>
        <w:rPr>
          <w:sz w:val="10"/>
        </w:rPr>
        <w:t>a</w:t>
      </w:r>
      <w:r>
        <w:rPr>
          <w:position w:val="1"/>
          <w:sz w:val="18"/>
        </w:rPr>
        <w:t>：转移至Ⅵ、Ⅶ区（包括气管旁、气管前、喉前/Delphian</w:t>
      </w:r>
      <w:r>
        <w:rPr>
          <w:spacing w:val="-5"/>
          <w:position w:val="1"/>
          <w:sz w:val="18"/>
        </w:rPr>
        <w:t> 或上纵隔</w:t>
      </w:r>
      <w:r>
        <w:rPr>
          <w:position w:val="1"/>
          <w:sz w:val="18"/>
        </w:rPr>
        <w:t>）淋巴结，可以为单侧</w:t>
      </w:r>
      <w:r>
        <w:rPr>
          <w:spacing w:val="-4"/>
          <w:sz w:val="18"/>
        </w:rPr>
        <w:t>或双侧。</w:t>
      </w:r>
    </w:p>
    <w:p>
      <w:pPr>
        <w:spacing w:line="324" w:lineRule="auto" w:before="8"/>
        <w:ind w:left="1082" w:right="1462" w:firstLine="0"/>
        <w:jc w:val="left"/>
        <w:rPr>
          <w:sz w:val="18"/>
        </w:rPr>
      </w:pPr>
      <w:r>
        <w:rPr>
          <w:spacing w:val="-4"/>
          <w:position w:val="1"/>
          <w:sz w:val="18"/>
        </w:rPr>
        <w:t>pN</w:t>
      </w:r>
      <w:r>
        <w:rPr>
          <w:spacing w:val="-4"/>
          <w:sz w:val="9"/>
        </w:rPr>
        <w:t>1b</w:t>
      </w:r>
      <w:r>
        <w:rPr>
          <w:spacing w:val="-4"/>
          <w:position w:val="1"/>
          <w:sz w:val="18"/>
        </w:rPr>
        <w:t>：单侧、双侧或对侧颈淋巴结转移（包括Ⅰ、Ⅱ、Ⅲ、Ⅳ或Ⅴ区）淋巴结或咽后淋巴结转移。</w:t>
      </w:r>
      <w:r>
        <w:rPr>
          <w:spacing w:val="-2"/>
          <w:sz w:val="18"/>
        </w:rPr>
        <w:t>远处转移：适用于所有甲状腺癌</w:t>
      </w:r>
    </w:p>
    <w:p>
      <w:pPr>
        <w:spacing w:line="324" w:lineRule="auto" w:before="2"/>
        <w:ind w:left="1082" w:right="7804" w:firstLine="0"/>
        <w:jc w:val="left"/>
        <w:rPr>
          <w:sz w:val="18"/>
        </w:rPr>
      </w:pPr>
      <w:r>
        <w:rPr/>
        <w:pict>
          <v:shape style="position:absolute;margin-left:126.739998pt;margin-top:29.399992pt;width:384.45pt;height:80.850pt;mso-position-horizontal-relative:page;mso-position-vertical-relative:paragraph;z-index:15773184" type="#_x0000_t202" id="docshape85" filled="false" stroked="false">
            <v:textbox inset="0,0,0,0">
              <w:txbxContent>
                <w:tbl>
                  <w:tblPr>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52"/>
                    <w:gridCol w:w="1911"/>
                    <w:gridCol w:w="1909"/>
                    <w:gridCol w:w="1909"/>
                  </w:tblGrid>
                  <w:tr>
                    <w:trPr>
                      <w:trHeight w:val="311" w:hRule="atLeast"/>
                    </w:trPr>
                    <w:tc>
                      <w:tcPr>
                        <w:tcW w:w="7681" w:type="dxa"/>
                        <w:gridSpan w:val="4"/>
                      </w:tcPr>
                      <w:p>
                        <w:pPr>
                          <w:pStyle w:val="TableParagraph"/>
                          <w:rPr>
                            <w:sz w:val="18"/>
                          </w:rPr>
                        </w:pPr>
                        <w:r>
                          <w:rPr>
                            <w:sz w:val="18"/>
                          </w:rPr>
                          <w:t>乳头状或滤泡状癌（分化型</w:t>
                        </w:r>
                        <w:r>
                          <w:rPr>
                            <w:spacing w:val="-10"/>
                            <w:sz w:val="18"/>
                          </w:rPr>
                          <w:t>）</w:t>
                        </w:r>
                      </w:p>
                    </w:tc>
                  </w:tr>
                  <w:tr>
                    <w:trPr>
                      <w:trHeight w:val="311" w:hRule="atLeast"/>
                    </w:trPr>
                    <w:tc>
                      <w:tcPr>
                        <w:tcW w:w="7681" w:type="dxa"/>
                        <w:gridSpan w:val="4"/>
                      </w:tcPr>
                      <w:p>
                        <w:pPr>
                          <w:pStyle w:val="TableParagraph"/>
                          <w:rPr>
                            <w:sz w:val="18"/>
                          </w:rPr>
                        </w:pPr>
                        <w:r>
                          <w:rPr>
                            <w:spacing w:val="-2"/>
                            <w:sz w:val="18"/>
                          </w:rPr>
                          <w:t>年龄&lt;55</w:t>
                        </w:r>
                        <w:r>
                          <w:rPr>
                            <w:spacing w:val="-23"/>
                            <w:sz w:val="18"/>
                          </w:rPr>
                          <w:t> 岁</w:t>
                        </w:r>
                      </w:p>
                    </w:tc>
                  </w:tr>
                  <w:tr>
                    <w:trPr>
                      <w:trHeight w:val="311" w:hRule="atLeast"/>
                    </w:trPr>
                    <w:tc>
                      <w:tcPr>
                        <w:tcW w:w="1952" w:type="dxa"/>
                      </w:tcPr>
                      <w:p>
                        <w:pPr>
                          <w:pStyle w:val="TableParagraph"/>
                          <w:spacing w:before="0"/>
                          <w:ind w:left="0"/>
                          <w:rPr>
                            <w:rFonts w:ascii="Times New Roman"/>
                            <w:sz w:val="16"/>
                          </w:rPr>
                        </w:pPr>
                      </w:p>
                    </w:tc>
                    <w:tc>
                      <w:tcPr>
                        <w:tcW w:w="1911" w:type="dxa"/>
                      </w:tcPr>
                      <w:p>
                        <w:pPr>
                          <w:pStyle w:val="TableParagraph"/>
                          <w:rPr>
                            <w:sz w:val="18"/>
                          </w:rPr>
                        </w:pPr>
                        <w:r>
                          <w:rPr>
                            <w:sz w:val="18"/>
                          </w:rPr>
                          <w:t>T</w:t>
                        </w:r>
                      </w:p>
                    </w:tc>
                    <w:tc>
                      <w:tcPr>
                        <w:tcW w:w="1909" w:type="dxa"/>
                      </w:tcPr>
                      <w:p>
                        <w:pPr>
                          <w:pStyle w:val="TableParagraph"/>
                          <w:ind w:left="104"/>
                          <w:rPr>
                            <w:sz w:val="18"/>
                          </w:rPr>
                        </w:pPr>
                        <w:r>
                          <w:rPr>
                            <w:sz w:val="18"/>
                          </w:rPr>
                          <w:t>N</w:t>
                        </w:r>
                      </w:p>
                    </w:tc>
                    <w:tc>
                      <w:tcPr>
                        <w:tcW w:w="1909" w:type="dxa"/>
                      </w:tcPr>
                      <w:p>
                        <w:pPr>
                          <w:pStyle w:val="TableParagraph"/>
                          <w:ind w:left="106"/>
                          <w:rPr>
                            <w:sz w:val="18"/>
                          </w:rPr>
                        </w:pPr>
                        <w:r>
                          <w:rPr>
                            <w:sz w:val="18"/>
                          </w:rPr>
                          <w:t>M</w:t>
                        </w:r>
                      </w:p>
                    </w:tc>
                  </w:tr>
                  <w:tr>
                    <w:trPr>
                      <w:trHeight w:val="313" w:hRule="atLeast"/>
                    </w:trPr>
                    <w:tc>
                      <w:tcPr>
                        <w:tcW w:w="1952" w:type="dxa"/>
                      </w:tcPr>
                      <w:p>
                        <w:pPr>
                          <w:pStyle w:val="TableParagraph"/>
                          <w:spacing w:before="40"/>
                          <w:rPr>
                            <w:sz w:val="18"/>
                          </w:rPr>
                        </w:pPr>
                        <w:r>
                          <w:rPr>
                            <w:spacing w:val="-5"/>
                            <w:sz w:val="18"/>
                          </w:rPr>
                          <w:t>Ⅰ期</w:t>
                        </w:r>
                      </w:p>
                    </w:tc>
                    <w:tc>
                      <w:tcPr>
                        <w:tcW w:w="1911" w:type="dxa"/>
                      </w:tcPr>
                      <w:p>
                        <w:pPr>
                          <w:pStyle w:val="TableParagraph"/>
                          <w:spacing w:before="40"/>
                          <w:rPr>
                            <w:sz w:val="18"/>
                          </w:rPr>
                        </w:pPr>
                        <w:r>
                          <w:rPr>
                            <w:spacing w:val="-5"/>
                            <w:sz w:val="18"/>
                          </w:rPr>
                          <w:t>任何</w:t>
                        </w:r>
                      </w:p>
                    </w:tc>
                    <w:tc>
                      <w:tcPr>
                        <w:tcW w:w="1909" w:type="dxa"/>
                      </w:tcPr>
                      <w:p>
                        <w:pPr>
                          <w:pStyle w:val="TableParagraph"/>
                          <w:spacing w:before="40"/>
                          <w:ind w:left="104"/>
                          <w:rPr>
                            <w:sz w:val="18"/>
                          </w:rPr>
                        </w:pPr>
                        <w:r>
                          <w:rPr>
                            <w:spacing w:val="-5"/>
                            <w:sz w:val="18"/>
                          </w:rPr>
                          <w:t>任何</w:t>
                        </w:r>
                      </w:p>
                    </w:tc>
                    <w:tc>
                      <w:tcPr>
                        <w:tcW w:w="1909" w:type="dxa"/>
                      </w:tcPr>
                      <w:p>
                        <w:pPr>
                          <w:pStyle w:val="TableParagraph"/>
                          <w:spacing w:before="40"/>
                          <w:ind w:left="106"/>
                          <w:rPr>
                            <w:sz w:val="18"/>
                          </w:rPr>
                        </w:pPr>
                        <w:r>
                          <w:rPr>
                            <w:sz w:val="18"/>
                          </w:rPr>
                          <w:t>0</w:t>
                        </w:r>
                      </w:p>
                    </w:tc>
                  </w:tr>
                  <w:tr>
                    <w:trPr>
                      <w:trHeight w:val="311" w:hRule="atLeast"/>
                    </w:trPr>
                    <w:tc>
                      <w:tcPr>
                        <w:tcW w:w="1952" w:type="dxa"/>
                      </w:tcPr>
                      <w:p>
                        <w:pPr>
                          <w:pStyle w:val="TableParagraph"/>
                          <w:rPr>
                            <w:sz w:val="18"/>
                          </w:rPr>
                        </w:pPr>
                        <w:r>
                          <w:rPr>
                            <w:spacing w:val="-5"/>
                            <w:sz w:val="18"/>
                          </w:rPr>
                          <w:t>Ⅱ期</w:t>
                        </w:r>
                      </w:p>
                    </w:tc>
                    <w:tc>
                      <w:tcPr>
                        <w:tcW w:w="1911" w:type="dxa"/>
                      </w:tcPr>
                      <w:p>
                        <w:pPr>
                          <w:pStyle w:val="TableParagraph"/>
                          <w:rPr>
                            <w:sz w:val="18"/>
                          </w:rPr>
                        </w:pPr>
                        <w:r>
                          <w:rPr>
                            <w:spacing w:val="-5"/>
                            <w:sz w:val="18"/>
                          </w:rPr>
                          <w:t>任何</w:t>
                        </w:r>
                      </w:p>
                    </w:tc>
                    <w:tc>
                      <w:tcPr>
                        <w:tcW w:w="1909" w:type="dxa"/>
                      </w:tcPr>
                      <w:p>
                        <w:pPr>
                          <w:pStyle w:val="TableParagraph"/>
                          <w:ind w:left="104"/>
                          <w:rPr>
                            <w:sz w:val="18"/>
                          </w:rPr>
                        </w:pPr>
                        <w:r>
                          <w:rPr>
                            <w:spacing w:val="-5"/>
                            <w:sz w:val="18"/>
                          </w:rPr>
                          <w:t>任何</w:t>
                        </w:r>
                      </w:p>
                    </w:tc>
                    <w:tc>
                      <w:tcPr>
                        <w:tcW w:w="1909" w:type="dxa"/>
                      </w:tcPr>
                      <w:p>
                        <w:pPr>
                          <w:pStyle w:val="TableParagraph"/>
                          <w:ind w:left="106"/>
                          <w:rPr>
                            <w:sz w:val="18"/>
                          </w:rPr>
                        </w:pPr>
                        <w:r>
                          <w:rPr>
                            <w:sz w:val="18"/>
                          </w:rPr>
                          <w:t>1</w:t>
                        </w:r>
                      </w:p>
                    </w:tc>
                  </w:tr>
                </w:tbl>
                <w:p>
                  <w:pPr>
                    <w:pStyle w:val="BodyText"/>
                    <w:ind w:left="0"/>
                  </w:pPr>
                </w:p>
              </w:txbxContent>
            </v:textbox>
            <w10:wrap type="none"/>
          </v:shape>
        </w:pict>
      </w:r>
      <w:r>
        <w:rPr>
          <w:spacing w:val="-2"/>
          <w:position w:val="1"/>
          <w:sz w:val="18"/>
        </w:rPr>
        <w:t>M</w:t>
      </w:r>
      <w:r>
        <w:rPr>
          <w:spacing w:val="-2"/>
          <w:sz w:val="9"/>
        </w:rPr>
        <w:t>0</w:t>
      </w:r>
      <w:r>
        <w:rPr>
          <w:spacing w:val="-2"/>
          <w:position w:val="1"/>
          <w:sz w:val="18"/>
        </w:rPr>
        <w:t>：无远处转移 </w:t>
      </w:r>
      <w:r>
        <w:rPr>
          <w:position w:val="1"/>
          <w:sz w:val="18"/>
        </w:rPr>
        <w:t>M</w:t>
      </w:r>
      <w:r>
        <w:rPr>
          <w:sz w:val="9"/>
        </w:rPr>
        <w:t>1</w:t>
      </w:r>
      <w:r>
        <w:rPr>
          <w:spacing w:val="-2"/>
          <w:position w:val="1"/>
          <w:sz w:val="18"/>
        </w:rPr>
        <w:t>：有远处转移</w:t>
      </w:r>
    </w:p>
    <w:p>
      <w:pPr>
        <w:spacing w:after="0" w:line="324" w:lineRule="auto"/>
        <w:jc w:val="left"/>
        <w:rPr>
          <w:sz w:val="18"/>
        </w:rPr>
        <w:sectPr>
          <w:pgSz w:w="11910" w:h="16840"/>
          <w:pgMar w:header="0" w:footer="1005" w:top="1400" w:bottom="1200" w:left="1560" w:right="240"/>
        </w:sectPr>
      </w:pPr>
    </w:p>
    <w:tbl>
      <w:tblPr>
        <w:tblW w:w="0" w:type="auto"/>
        <w:jc w:val="left"/>
        <w:tblInd w:w="9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52"/>
        <w:gridCol w:w="1911"/>
        <w:gridCol w:w="1909"/>
        <w:gridCol w:w="1909"/>
      </w:tblGrid>
      <w:tr>
        <w:trPr>
          <w:trHeight w:val="311" w:hRule="atLeast"/>
        </w:trPr>
        <w:tc>
          <w:tcPr>
            <w:tcW w:w="7681" w:type="dxa"/>
            <w:gridSpan w:val="4"/>
          </w:tcPr>
          <w:p>
            <w:pPr>
              <w:pStyle w:val="TableParagraph"/>
              <w:rPr>
                <w:sz w:val="18"/>
              </w:rPr>
            </w:pPr>
            <w:r>
              <w:rPr>
                <w:sz w:val="18"/>
              </w:rPr>
              <w:t>年龄≥55</w:t>
            </w:r>
            <w:r>
              <w:rPr>
                <w:spacing w:val="-28"/>
                <w:sz w:val="18"/>
              </w:rPr>
              <w:t> 岁</w:t>
            </w:r>
          </w:p>
        </w:tc>
      </w:tr>
      <w:tr>
        <w:trPr>
          <w:trHeight w:val="312" w:hRule="atLeast"/>
        </w:trPr>
        <w:tc>
          <w:tcPr>
            <w:tcW w:w="1952" w:type="dxa"/>
            <w:vMerge w:val="restart"/>
          </w:tcPr>
          <w:p>
            <w:pPr>
              <w:pStyle w:val="TableParagraph"/>
              <w:spacing w:before="7"/>
              <w:ind w:left="0"/>
              <w:rPr>
                <w:sz w:val="15"/>
              </w:rPr>
            </w:pPr>
          </w:p>
          <w:p>
            <w:pPr>
              <w:pStyle w:val="TableParagraph"/>
              <w:spacing w:before="0"/>
              <w:rPr>
                <w:sz w:val="18"/>
              </w:rPr>
            </w:pPr>
            <w:r>
              <w:rPr>
                <w:spacing w:val="-5"/>
                <w:sz w:val="18"/>
              </w:rPr>
              <w:t>Ⅰ期</w:t>
            </w:r>
          </w:p>
        </w:tc>
        <w:tc>
          <w:tcPr>
            <w:tcW w:w="1911" w:type="dxa"/>
          </w:tcPr>
          <w:p>
            <w:pPr>
              <w:pStyle w:val="TableParagraph"/>
              <w:rPr>
                <w:sz w:val="18"/>
              </w:rPr>
            </w:pPr>
            <w:r>
              <w:rPr>
                <w:sz w:val="18"/>
              </w:rPr>
              <w:t>1</w:t>
            </w:r>
          </w:p>
        </w:tc>
        <w:tc>
          <w:tcPr>
            <w:tcW w:w="1909" w:type="dxa"/>
          </w:tcPr>
          <w:p>
            <w:pPr>
              <w:pStyle w:val="TableParagraph"/>
              <w:ind w:left="104"/>
              <w:rPr>
                <w:sz w:val="18"/>
              </w:rPr>
            </w:pPr>
            <w:r>
              <w:rPr>
                <w:spacing w:val="-5"/>
                <w:sz w:val="18"/>
              </w:rPr>
              <w:t>0/x</w:t>
            </w:r>
          </w:p>
        </w:tc>
        <w:tc>
          <w:tcPr>
            <w:tcW w:w="1909" w:type="dxa"/>
          </w:tcPr>
          <w:p>
            <w:pPr>
              <w:pStyle w:val="TableParagraph"/>
              <w:ind w:left="106"/>
              <w:rPr>
                <w:sz w:val="18"/>
              </w:rPr>
            </w:pPr>
            <w:r>
              <w:rPr>
                <w:sz w:val="18"/>
              </w:rPr>
              <w:t>0</w:t>
            </w:r>
          </w:p>
        </w:tc>
      </w:tr>
      <w:tr>
        <w:trPr>
          <w:trHeight w:val="311" w:hRule="atLeast"/>
        </w:trPr>
        <w:tc>
          <w:tcPr>
            <w:tcW w:w="1952" w:type="dxa"/>
            <w:vMerge/>
            <w:tcBorders>
              <w:top w:val="nil"/>
            </w:tcBorders>
          </w:tcPr>
          <w:p>
            <w:pPr>
              <w:rPr>
                <w:sz w:val="2"/>
                <w:szCs w:val="2"/>
              </w:rPr>
            </w:pPr>
          </w:p>
        </w:tc>
        <w:tc>
          <w:tcPr>
            <w:tcW w:w="1911" w:type="dxa"/>
          </w:tcPr>
          <w:p>
            <w:pPr>
              <w:pStyle w:val="TableParagraph"/>
              <w:rPr>
                <w:sz w:val="18"/>
              </w:rPr>
            </w:pPr>
            <w:r>
              <w:rPr>
                <w:sz w:val="18"/>
              </w:rPr>
              <w:t>2</w:t>
            </w:r>
          </w:p>
        </w:tc>
        <w:tc>
          <w:tcPr>
            <w:tcW w:w="1909" w:type="dxa"/>
          </w:tcPr>
          <w:p>
            <w:pPr>
              <w:pStyle w:val="TableParagraph"/>
              <w:ind w:left="104"/>
              <w:rPr>
                <w:sz w:val="18"/>
              </w:rPr>
            </w:pPr>
            <w:r>
              <w:rPr>
                <w:spacing w:val="-5"/>
                <w:sz w:val="18"/>
              </w:rPr>
              <w:t>0/x</w:t>
            </w:r>
          </w:p>
        </w:tc>
        <w:tc>
          <w:tcPr>
            <w:tcW w:w="1909" w:type="dxa"/>
          </w:tcPr>
          <w:p>
            <w:pPr>
              <w:pStyle w:val="TableParagraph"/>
              <w:ind w:left="106"/>
              <w:rPr>
                <w:sz w:val="18"/>
              </w:rPr>
            </w:pPr>
            <w:r>
              <w:rPr>
                <w:sz w:val="18"/>
              </w:rPr>
              <w:t>0</w:t>
            </w:r>
          </w:p>
        </w:tc>
      </w:tr>
      <w:tr>
        <w:trPr>
          <w:trHeight w:val="313" w:hRule="atLeast"/>
        </w:trPr>
        <w:tc>
          <w:tcPr>
            <w:tcW w:w="1952" w:type="dxa"/>
            <w:vMerge w:val="restart"/>
          </w:tcPr>
          <w:p>
            <w:pPr>
              <w:pStyle w:val="TableParagraph"/>
              <w:spacing w:before="9"/>
              <w:ind w:left="0"/>
              <w:rPr>
                <w:sz w:val="15"/>
              </w:rPr>
            </w:pPr>
          </w:p>
          <w:p>
            <w:pPr>
              <w:pStyle w:val="TableParagraph"/>
              <w:spacing w:before="0"/>
              <w:rPr>
                <w:sz w:val="18"/>
              </w:rPr>
            </w:pPr>
            <w:r>
              <w:rPr>
                <w:spacing w:val="-5"/>
                <w:sz w:val="18"/>
              </w:rPr>
              <w:t>Ⅱ期</w:t>
            </w:r>
          </w:p>
        </w:tc>
        <w:tc>
          <w:tcPr>
            <w:tcW w:w="1911" w:type="dxa"/>
          </w:tcPr>
          <w:p>
            <w:pPr>
              <w:pStyle w:val="TableParagraph"/>
              <w:spacing w:before="40"/>
              <w:rPr>
                <w:sz w:val="18"/>
              </w:rPr>
            </w:pPr>
            <w:r>
              <w:rPr>
                <w:spacing w:val="-5"/>
                <w:sz w:val="18"/>
              </w:rPr>
              <w:t>1～2</w:t>
            </w:r>
          </w:p>
        </w:tc>
        <w:tc>
          <w:tcPr>
            <w:tcW w:w="1909" w:type="dxa"/>
          </w:tcPr>
          <w:p>
            <w:pPr>
              <w:pStyle w:val="TableParagraph"/>
              <w:spacing w:before="40"/>
              <w:ind w:left="104"/>
              <w:rPr>
                <w:sz w:val="18"/>
              </w:rPr>
            </w:pPr>
            <w:r>
              <w:rPr>
                <w:sz w:val="18"/>
              </w:rPr>
              <w:t>1</w:t>
            </w:r>
          </w:p>
        </w:tc>
        <w:tc>
          <w:tcPr>
            <w:tcW w:w="1909" w:type="dxa"/>
          </w:tcPr>
          <w:p>
            <w:pPr>
              <w:pStyle w:val="TableParagraph"/>
              <w:spacing w:before="40"/>
              <w:ind w:left="106"/>
              <w:rPr>
                <w:sz w:val="18"/>
              </w:rPr>
            </w:pPr>
            <w:r>
              <w:rPr>
                <w:sz w:val="18"/>
              </w:rPr>
              <w:t>0</w:t>
            </w:r>
          </w:p>
        </w:tc>
      </w:tr>
      <w:tr>
        <w:trPr>
          <w:trHeight w:val="311" w:hRule="atLeast"/>
        </w:trPr>
        <w:tc>
          <w:tcPr>
            <w:tcW w:w="1952" w:type="dxa"/>
            <w:vMerge/>
            <w:tcBorders>
              <w:top w:val="nil"/>
            </w:tcBorders>
          </w:tcPr>
          <w:p>
            <w:pPr>
              <w:rPr>
                <w:sz w:val="2"/>
                <w:szCs w:val="2"/>
              </w:rPr>
            </w:pPr>
          </w:p>
        </w:tc>
        <w:tc>
          <w:tcPr>
            <w:tcW w:w="1911" w:type="dxa"/>
          </w:tcPr>
          <w:p>
            <w:pPr>
              <w:pStyle w:val="TableParagraph"/>
              <w:rPr>
                <w:sz w:val="18"/>
              </w:rPr>
            </w:pPr>
            <w:r>
              <w:rPr>
                <w:spacing w:val="-4"/>
                <w:sz w:val="18"/>
              </w:rPr>
              <w:t>3a～3b</w:t>
            </w:r>
          </w:p>
        </w:tc>
        <w:tc>
          <w:tcPr>
            <w:tcW w:w="1909" w:type="dxa"/>
          </w:tcPr>
          <w:p>
            <w:pPr>
              <w:pStyle w:val="TableParagraph"/>
              <w:ind w:left="104"/>
              <w:rPr>
                <w:sz w:val="18"/>
              </w:rPr>
            </w:pPr>
            <w:r>
              <w:rPr>
                <w:spacing w:val="-5"/>
                <w:sz w:val="18"/>
              </w:rPr>
              <w:t>任何</w:t>
            </w:r>
          </w:p>
        </w:tc>
        <w:tc>
          <w:tcPr>
            <w:tcW w:w="1909" w:type="dxa"/>
          </w:tcPr>
          <w:p>
            <w:pPr>
              <w:pStyle w:val="TableParagraph"/>
              <w:ind w:left="106"/>
              <w:rPr>
                <w:sz w:val="18"/>
              </w:rPr>
            </w:pPr>
            <w:r>
              <w:rPr>
                <w:sz w:val="18"/>
              </w:rPr>
              <w:t>0</w:t>
            </w:r>
          </w:p>
        </w:tc>
      </w:tr>
      <w:tr>
        <w:trPr>
          <w:trHeight w:val="311" w:hRule="atLeast"/>
        </w:trPr>
        <w:tc>
          <w:tcPr>
            <w:tcW w:w="1952" w:type="dxa"/>
          </w:tcPr>
          <w:p>
            <w:pPr>
              <w:pStyle w:val="TableParagraph"/>
              <w:rPr>
                <w:sz w:val="18"/>
              </w:rPr>
            </w:pPr>
            <w:r>
              <w:rPr>
                <w:spacing w:val="-5"/>
                <w:sz w:val="18"/>
              </w:rPr>
              <w:t>Ⅲ期</w:t>
            </w:r>
          </w:p>
        </w:tc>
        <w:tc>
          <w:tcPr>
            <w:tcW w:w="1911" w:type="dxa"/>
          </w:tcPr>
          <w:p>
            <w:pPr>
              <w:pStyle w:val="TableParagraph"/>
              <w:rPr>
                <w:sz w:val="18"/>
              </w:rPr>
            </w:pPr>
            <w:r>
              <w:rPr>
                <w:spacing w:val="-5"/>
                <w:sz w:val="18"/>
              </w:rPr>
              <w:t>4a</w:t>
            </w:r>
          </w:p>
        </w:tc>
        <w:tc>
          <w:tcPr>
            <w:tcW w:w="1909" w:type="dxa"/>
          </w:tcPr>
          <w:p>
            <w:pPr>
              <w:pStyle w:val="TableParagraph"/>
              <w:ind w:left="104"/>
              <w:rPr>
                <w:sz w:val="18"/>
              </w:rPr>
            </w:pPr>
            <w:r>
              <w:rPr>
                <w:spacing w:val="-5"/>
                <w:sz w:val="18"/>
              </w:rPr>
              <w:t>任何</w:t>
            </w:r>
          </w:p>
        </w:tc>
        <w:tc>
          <w:tcPr>
            <w:tcW w:w="1909" w:type="dxa"/>
          </w:tcPr>
          <w:p>
            <w:pPr>
              <w:pStyle w:val="TableParagraph"/>
              <w:ind w:left="106"/>
              <w:rPr>
                <w:sz w:val="18"/>
              </w:rPr>
            </w:pPr>
            <w:r>
              <w:rPr>
                <w:sz w:val="18"/>
              </w:rPr>
              <w:t>0</w:t>
            </w:r>
          </w:p>
        </w:tc>
      </w:tr>
      <w:tr>
        <w:trPr>
          <w:trHeight w:val="311" w:hRule="atLeast"/>
        </w:trPr>
        <w:tc>
          <w:tcPr>
            <w:tcW w:w="1952" w:type="dxa"/>
          </w:tcPr>
          <w:p>
            <w:pPr>
              <w:pStyle w:val="TableParagraph"/>
              <w:rPr>
                <w:sz w:val="18"/>
              </w:rPr>
            </w:pPr>
            <w:r>
              <w:rPr>
                <w:sz w:val="18"/>
              </w:rPr>
              <w:t>ⅣA</w:t>
            </w:r>
            <w:r>
              <w:rPr>
                <w:spacing w:val="-27"/>
                <w:sz w:val="18"/>
              </w:rPr>
              <w:t> 期</w:t>
            </w:r>
          </w:p>
        </w:tc>
        <w:tc>
          <w:tcPr>
            <w:tcW w:w="1911" w:type="dxa"/>
          </w:tcPr>
          <w:p>
            <w:pPr>
              <w:pStyle w:val="TableParagraph"/>
              <w:rPr>
                <w:sz w:val="18"/>
              </w:rPr>
            </w:pPr>
            <w:r>
              <w:rPr>
                <w:spacing w:val="-5"/>
                <w:sz w:val="18"/>
              </w:rPr>
              <w:t>4b</w:t>
            </w:r>
          </w:p>
        </w:tc>
        <w:tc>
          <w:tcPr>
            <w:tcW w:w="1909" w:type="dxa"/>
          </w:tcPr>
          <w:p>
            <w:pPr>
              <w:pStyle w:val="TableParagraph"/>
              <w:ind w:left="104"/>
              <w:rPr>
                <w:sz w:val="18"/>
              </w:rPr>
            </w:pPr>
            <w:r>
              <w:rPr>
                <w:spacing w:val="-5"/>
                <w:sz w:val="18"/>
              </w:rPr>
              <w:t>任何</w:t>
            </w:r>
          </w:p>
        </w:tc>
        <w:tc>
          <w:tcPr>
            <w:tcW w:w="1909" w:type="dxa"/>
          </w:tcPr>
          <w:p>
            <w:pPr>
              <w:pStyle w:val="TableParagraph"/>
              <w:ind w:left="106"/>
              <w:rPr>
                <w:sz w:val="18"/>
              </w:rPr>
            </w:pPr>
            <w:r>
              <w:rPr>
                <w:sz w:val="18"/>
              </w:rPr>
              <w:t>0</w:t>
            </w:r>
          </w:p>
        </w:tc>
      </w:tr>
      <w:tr>
        <w:trPr>
          <w:trHeight w:val="311" w:hRule="atLeast"/>
        </w:trPr>
        <w:tc>
          <w:tcPr>
            <w:tcW w:w="1952" w:type="dxa"/>
          </w:tcPr>
          <w:p>
            <w:pPr>
              <w:pStyle w:val="TableParagraph"/>
              <w:rPr>
                <w:sz w:val="18"/>
              </w:rPr>
            </w:pPr>
            <w:r>
              <w:rPr>
                <w:sz w:val="18"/>
              </w:rPr>
              <w:t>ⅣB</w:t>
            </w:r>
            <w:r>
              <w:rPr>
                <w:spacing w:val="-27"/>
                <w:sz w:val="18"/>
              </w:rPr>
              <w:t> 期</w:t>
            </w:r>
          </w:p>
        </w:tc>
        <w:tc>
          <w:tcPr>
            <w:tcW w:w="1911" w:type="dxa"/>
          </w:tcPr>
          <w:p>
            <w:pPr>
              <w:pStyle w:val="TableParagraph"/>
              <w:rPr>
                <w:sz w:val="18"/>
              </w:rPr>
            </w:pPr>
            <w:r>
              <w:rPr>
                <w:spacing w:val="-5"/>
                <w:sz w:val="18"/>
              </w:rPr>
              <w:t>任何</w:t>
            </w:r>
          </w:p>
        </w:tc>
        <w:tc>
          <w:tcPr>
            <w:tcW w:w="1909" w:type="dxa"/>
          </w:tcPr>
          <w:p>
            <w:pPr>
              <w:pStyle w:val="TableParagraph"/>
              <w:ind w:left="104"/>
              <w:rPr>
                <w:sz w:val="18"/>
              </w:rPr>
            </w:pPr>
            <w:r>
              <w:rPr>
                <w:spacing w:val="-5"/>
                <w:sz w:val="18"/>
              </w:rPr>
              <w:t>任何</w:t>
            </w:r>
          </w:p>
        </w:tc>
        <w:tc>
          <w:tcPr>
            <w:tcW w:w="1909" w:type="dxa"/>
          </w:tcPr>
          <w:p>
            <w:pPr>
              <w:pStyle w:val="TableParagraph"/>
              <w:ind w:left="106"/>
              <w:rPr>
                <w:sz w:val="18"/>
              </w:rPr>
            </w:pPr>
            <w:r>
              <w:rPr>
                <w:sz w:val="18"/>
              </w:rPr>
              <w:t>1</w:t>
            </w:r>
          </w:p>
        </w:tc>
      </w:tr>
      <w:tr>
        <w:trPr>
          <w:trHeight w:val="311" w:hRule="atLeast"/>
        </w:trPr>
        <w:tc>
          <w:tcPr>
            <w:tcW w:w="7681" w:type="dxa"/>
            <w:gridSpan w:val="4"/>
          </w:tcPr>
          <w:p>
            <w:pPr>
              <w:pStyle w:val="TableParagraph"/>
              <w:rPr>
                <w:sz w:val="18"/>
              </w:rPr>
            </w:pPr>
            <w:r>
              <w:rPr>
                <w:sz w:val="18"/>
              </w:rPr>
              <w:t>髓样癌（所有年龄组</w:t>
            </w:r>
            <w:r>
              <w:rPr>
                <w:spacing w:val="-10"/>
                <w:sz w:val="18"/>
              </w:rPr>
              <w:t>）</w:t>
            </w:r>
          </w:p>
        </w:tc>
      </w:tr>
      <w:tr>
        <w:trPr>
          <w:trHeight w:val="314" w:hRule="atLeast"/>
        </w:trPr>
        <w:tc>
          <w:tcPr>
            <w:tcW w:w="1952" w:type="dxa"/>
          </w:tcPr>
          <w:p>
            <w:pPr>
              <w:pStyle w:val="TableParagraph"/>
              <w:spacing w:before="40"/>
              <w:rPr>
                <w:sz w:val="18"/>
              </w:rPr>
            </w:pPr>
            <w:r>
              <w:rPr>
                <w:spacing w:val="-5"/>
                <w:sz w:val="18"/>
              </w:rPr>
              <w:t>Ⅰ期</w:t>
            </w:r>
          </w:p>
        </w:tc>
        <w:tc>
          <w:tcPr>
            <w:tcW w:w="1911" w:type="dxa"/>
          </w:tcPr>
          <w:p>
            <w:pPr>
              <w:pStyle w:val="TableParagraph"/>
              <w:spacing w:before="40"/>
              <w:rPr>
                <w:sz w:val="18"/>
              </w:rPr>
            </w:pPr>
            <w:r>
              <w:rPr>
                <w:sz w:val="18"/>
              </w:rPr>
              <w:t>1</w:t>
            </w:r>
          </w:p>
        </w:tc>
        <w:tc>
          <w:tcPr>
            <w:tcW w:w="1909" w:type="dxa"/>
          </w:tcPr>
          <w:p>
            <w:pPr>
              <w:pStyle w:val="TableParagraph"/>
              <w:spacing w:before="40"/>
              <w:ind w:left="104"/>
              <w:rPr>
                <w:sz w:val="18"/>
              </w:rPr>
            </w:pPr>
            <w:r>
              <w:rPr>
                <w:sz w:val="18"/>
              </w:rPr>
              <w:t>0</w:t>
            </w:r>
          </w:p>
        </w:tc>
        <w:tc>
          <w:tcPr>
            <w:tcW w:w="1909" w:type="dxa"/>
          </w:tcPr>
          <w:p>
            <w:pPr>
              <w:pStyle w:val="TableParagraph"/>
              <w:spacing w:before="40"/>
              <w:ind w:left="106"/>
              <w:rPr>
                <w:sz w:val="18"/>
              </w:rPr>
            </w:pPr>
            <w:r>
              <w:rPr>
                <w:sz w:val="18"/>
              </w:rPr>
              <w:t>0</w:t>
            </w:r>
          </w:p>
        </w:tc>
      </w:tr>
      <w:tr>
        <w:trPr>
          <w:trHeight w:val="311" w:hRule="atLeast"/>
        </w:trPr>
        <w:tc>
          <w:tcPr>
            <w:tcW w:w="1952" w:type="dxa"/>
          </w:tcPr>
          <w:p>
            <w:pPr>
              <w:pStyle w:val="TableParagraph"/>
              <w:rPr>
                <w:sz w:val="18"/>
              </w:rPr>
            </w:pPr>
            <w:r>
              <w:rPr>
                <w:spacing w:val="-5"/>
                <w:sz w:val="18"/>
              </w:rPr>
              <w:t>Ⅱ期</w:t>
            </w:r>
          </w:p>
        </w:tc>
        <w:tc>
          <w:tcPr>
            <w:tcW w:w="1911" w:type="dxa"/>
          </w:tcPr>
          <w:p>
            <w:pPr>
              <w:pStyle w:val="TableParagraph"/>
              <w:rPr>
                <w:sz w:val="18"/>
              </w:rPr>
            </w:pPr>
            <w:r>
              <w:rPr>
                <w:spacing w:val="-5"/>
                <w:sz w:val="18"/>
              </w:rPr>
              <w:t>2～3</w:t>
            </w:r>
          </w:p>
        </w:tc>
        <w:tc>
          <w:tcPr>
            <w:tcW w:w="1909" w:type="dxa"/>
          </w:tcPr>
          <w:p>
            <w:pPr>
              <w:pStyle w:val="TableParagraph"/>
              <w:ind w:left="104"/>
              <w:rPr>
                <w:sz w:val="18"/>
              </w:rPr>
            </w:pPr>
            <w:r>
              <w:rPr>
                <w:sz w:val="18"/>
              </w:rPr>
              <w:t>0</w:t>
            </w:r>
          </w:p>
        </w:tc>
        <w:tc>
          <w:tcPr>
            <w:tcW w:w="1909" w:type="dxa"/>
          </w:tcPr>
          <w:p>
            <w:pPr>
              <w:pStyle w:val="TableParagraph"/>
              <w:ind w:left="106"/>
              <w:rPr>
                <w:sz w:val="18"/>
              </w:rPr>
            </w:pPr>
            <w:r>
              <w:rPr>
                <w:sz w:val="18"/>
              </w:rPr>
              <w:t>0</w:t>
            </w:r>
          </w:p>
        </w:tc>
      </w:tr>
      <w:tr>
        <w:trPr>
          <w:trHeight w:val="311" w:hRule="atLeast"/>
        </w:trPr>
        <w:tc>
          <w:tcPr>
            <w:tcW w:w="1952" w:type="dxa"/>
          </w:tcPr>
          <w:p>
            <w:pPr>
              <w:pStyle w:val="TableParagraph"/>
              <w:rPr>
                <w:sz w:val="18"/>
              </w:rPr>
            </w:pPr>
            <w:r>
              <w:rPr>
                <w:spacing w:val="-5"/>
                <w:sz w:val="18"/>
              </w:rPr>
              <w:t>Ⅲ期</w:t>
            </w:r>
          </w:p>
        </w:tc>
        <w:tc>
          <w:tcPr>
            <w:tcW w:w="1911" w:type="dxa"/>
          </w:tcPr>
          <w:p>
            <w:pPr>
              <w:pStyle w:val="TableParagraph"/>
              <w:rPr>
                <w:sz w:val="18"/>
              </w:rPr>
            </w:pPr>
            <w:r>
              <w:rPr>
                <w:spacing w:val="-5"/>
                <w:sz w:val="18"/>
              </w:rPr>
              <w:t>1～3</w:t>
            </w:r>
          </w:p>
        </w:tc>
        <w:tc>
          <w:tcPr>
            <w:tcW w:w="1909" w:type="dxa"/>
          </w:tcPr>
          <w:p>
            <w:pPr>
              <w:pStyle w:val="TableParagraph"/>
              <w:ind w:left="104"/>
              <w:rPr>
                <w:sz w:val="18"/>
              </w:rPr>
            </w:pPr>
            <w:r>
              <w:rPr>
                <w:spacing w:val="-5"/>
                <w:sz w:val="18"/>
              </w:rPr>
              <w:t>1a</w:t>
            </w:r>
          </w:p>
        </w:tc>
        <w:tc>
          <w:tcPr>
            <w:tcW w:w="1909" w:type="dxa"/>
          </w:tcPr>
          <w:p>
            <w:pPr>
              <w:pStyle w:val="TableParagraph"/>
              <w:ind w:left="106"/>
              <w:rPr>
                <w:sz w:val="18"/>
              </w:rPr>
            </w:pPr>
            <w:r>
              <w:rPr>
                <w:sz w:val="18"/>
              </w:rPr>
              <w:t>0</w:t>
            </w:r>
          </w:p>
        </w:tc>
      </w:tr>
      <w:tr>
        <w:trPr>
          <w:trHeight w:val="311" w:hRule="atLeast"/>
        </w:trPr>
        <w:tc>
          <w:tcPr>
            <w:tcW w:w="1952" w:type="dxa"/>
            <w:vMerge w:val="restart"/>
          </w:tcPr>
          <w:p>
            <w:pPr>
              <w:pStyle w:val="TableParagraph"/>
              <w:spacing w:before="7"/>
              <w:ind w:left="0"/>
              <w:rPr>
                <w:sz w:val="15"/>
              </w:rPr>
            </w:pPr>
          </w:p>
          <w:p>
            <w:pPr>
              <w:pStyle w:val="TableParagraph"/>
              <w:spacing w:before="0"/>
              <w:rPr>
                <w:sz w:val="18"/>
              </w:rPr>
            </w:pPr>
            <w:r>
              <w:rPr>
                <w:sz w:val="18"/>
              </w:rPr>
              <w:t>ⅣA</w:t>
            </w:r>
            <w:r>
              <w:rPr>
                <w:spacing w:val="-27"/>
                <w:sz w:val="18"/>
              </w:rPr>
              <w:t> 期</w:t>
            </w:r>
          </w:p>
        </w:tc>
        <w:tc>
          <w:tcPr>
            <w:tcW w:w="1911" w:type="dxa"/>
          </w:tcPr>
          <w:p>
            <w:pPr>
              <w:pStyle w:val="TableParagraph"/>
              <w:rPr>
                <w:sz w:val="18"/>
              </w:rPr>
            </w:pPr>
            <w:r>
              <w:rPr>
                <w:spacing w:val="-5"/>
                <w:sz w:val="18"/>
              </w:rPr>
              <w:t>4a</w:t>
            </w:r>
          </w:p>
        </w:tc>
        <w:tc>
          <w:tcPr>
            <w:tcW w:w="1909" w:type="dxa"/>
          </w:tcPr>
          <w:p>
            <w:pPr>
              <w:pStyle w:val="TableParagraph"/>
              <w:ind w:left="104"/>
              <w:rPr>
                <w:sz w:val="18"/>
              </w:rPr>
            </w:pPr>
            <w:r>
              <w:rPr>
                <w:spacing w:val="-5"/>
                <w:sz w:val="18"/>
              </w:rPr>
              <w:t>任何</w:t>
            </w:r>
          </w:p>
        </w:tc>
        <w:tc>
          <w:tcPr>
            <w:tcW w:w="1909" w:type="dxa"/>
          </w:tcPr>
          <w:p>
            <w:pPr>
              <w:pStyle w:val="TableParagraph"/>
              <w:ind w:left="106"/>
              <w:rPr>
                <w:sz w:val="18"/>
              </w:rPr>
            </w:pPr>
            <w:r>
              <w:rPr>
                <w:sz w:val="18"/>
              </w:rPr>
              <w:t>0</w:t>
            </w:r>
          </w:p>
        </w:tc>
      </w:tr>
      <w:tr>
        <w:trPr>
          <w:trHeight w:val="312" w:hRule="atLeast"/>
        </w:trPr>
        <w:tc>
          <w:tcPr>
            <w:tcW w:w="1952" w:type="dxa"/>
            <w:vMerge/>
            <w:tcBorders>
              <w:top w:val="nil"/>
            </w:tcBorders>
          </w:tcPr>
          <w:p>
            <w:pPr>
              <w:rPr>
                <w:sz w:val="2"/>
                <w:szCs w:val="2"/>
              </w:rPr>
            </w:pPr>
          </w:p>
        </w:tc>
        <w:tc>
          <w:tcPr>
            <w:tcW w:w="1911" w:type="dxa"/>
          </w:tcPr>
          <w:p>
            <w:pPr>
              <w:pStyle w:val="TableParagraph"/>
              <w:rPr>
                <w:sz w:val="18"/>
              </w:rPr>
            </w:pPr>
            <w:r>
              <w:rPr>
                <w:spacing w:val="-5"/>
                <w:sz w:val="18"/>
              </w:rPr>
              <w:t>1～3</w:t>
            </w:r>
          </w:p>
        </w:tc>
        <w:tc>
          <w:tcPr>
            <w:tcW w:w="1909" w:type="dxa"/>
          </w:tcPr>
          <w:p>
            <w:pPr>
              <w:pStyle w:val="TableParagraph"/>
              <w:ind w:left="104"/>
              <w:rPr>
                <w:sz w:val="18"/>
              </w:rPr>
            </w:pPr>
            <w:r>
              <w:rPr>
                <w:spacing w:val="-5"/>
                <w:sz w:val="18"/>
              </w:rPr>
              <w:t>1b</w:t>
            </w:r>
          </w:p>
        </w:tc>
        <w:tc>
          <w:tcPr>
            <w:tcW w:w="1909" w:type="dxa"/>
          </w:tcPr>
          <w:p>
            <w:pPr>
              <w:pStyle w:val="TableParagraph"/>
              <w:ind w:left="106"/>
              <w:rPr>
                <w:sz w:val="18"/>
              </w:rPr>
            </w:pPr>
            <w:r>
              <w:rPr>
                <w:sz w:val="18"/>
              </w:rPr>
              <w:t>0</w:t>
            </w:r>
          </w:p>
        </w:tc>
      </w:tr>
      <w:tr>
        <w:trPr>
          <w:trHeight w:val="311" w:hRule="atLeast"/>
        </w:trPr>
        <w:tc>
          <w:tcPr>
            <w:tcW w:w="1952" w:type="dxa"/>
          </w:tcPr>
          <w:p>
            <w:pPr>
              <w:pStyle w:val="TableParagraph"/>
              <w:rPr>
                <w:sz w:val="18"/>
              </w:rPr>
            </w:pPr>
            <w:r>
              <w:rPr>
                <w:sz w:val="18"/>
              </w:rPr>
              <w:t>ⅣB</w:t>
            </w:r>
            <w:r>
              <w:rPr>
                <w:spacing w:val="-27"/>
                <w:sz w:val="18"/>
              </w:rPr>
              <w:t> 期</w:t>
            </w:r>
          </w:p>
        </w:tc>
        <w:tc>
          <w:tcPr>
            <w:tcW w:w="1911" w:type="dxa"/>
          </w:tcPr>
          <w:p>
            <w:pPr>
              <w:pStyle w:val="TableParagraph"/>
              <w:rPr>
                <w:sz w:val="18"/>
              </w:rPr>
            </w:pPr>
            <w:r>
              <w:rPr>
                <w:spacing w:val="-5"/>
                <w:sz w:val="18"/>
              </w:rPr>
              <w:t>4b</w:t>
            </w:r>
          </w:p>
        </w:tc>
        <w:tc>
          <w:tcPr>
            <w:tcW w:w="1909" w:type="dxa"/>
          </w:tcPr>
          <w:p>
            <w:pPr>
              <w:pStyle w:val="TableParagraph"/>
              <w:ind w:left="104"/>
              <w:rPr>
                <w:sz w:val="18"/>
              </w:rPr>
            </w:pPr>
            <w:r>
              <w:rPr>
                <w:spacing w:val="-5"/>
                <w:sz w:val="18"/>
              </w:rPr>
              <w:t>任何</w:t>
            </w:r>
          </w:p>
        </w:tc>
        <w:tc>
          <w:tcPr>
            <w:tcW w:w="1909" w:type="dxa"/>
          </w:tcPr>
          <w:p>
            <w:pPr>
              <w:pStyle w:val="TableParagraph"/>
              <w:ind w:left="106"/>
              <w:rPr>
                <w:sz w:val="18"/>
              </w:rPr>
            </w:pPr>
            <w:r>
              <w:rPr>
                <w:sz w:val="18"/>
              </w:rPr>
              <w:t>0</w:t>
            </w:r>
          </w:p>
        </w:tc>
      </w:tr>
      <w:tr>
        <w:trPr>
          <w:trHeight w:val="314" w:hRule="atLeast"/>
        </w:trPr>
        <w:tc>
          <w:tcPr>
            <w:tcW w:w="1952" w:type="dxa"/>
          </w:tcPr>
          <w:p>
            <w:pPr>
              <w:pStyle w:val="TableParagraph"/>
              <w:spacing w:before="40"/>
              <w:rPr>
                <w:sz w:val="18"/>
              </w:rPr>
            </w:pPr>
            <w:r>
              <w:rPr>
                <w:sz w:val="18"/>
              </w:rPr>
              <w:t>ⅣC</w:t>
            </w:r>
            <w:r>
              <w:rPr>
                <w:spacing w:val="-27"/>
                <w:sz w:val="18"/>
              </w:rPr>
              <w:t> 期</w:t>
            </w:r>
          </w:p>
        </w:tc>
        <w:tc>
          <w:tcPr>
            <w:tcW w:w="1911" w:type="dxa"/>
          </w:tcPr>
          <w:p>
            <w:pPr>
              <w:pStyle w:val="TableParagraph"/>
              <w:spacing w:before="40"/>
              <w:rPr>
                <w:sz w:val="18"/>
              </w:rPr>
            </w:pPr>
            <w:r>
              <w:rPr>
                <w:spacing w:val="-5"/>
                <w:sz w:val="18"/>
              </w:rPr>
              <w:t>任何</w:t>
            </w:r>
          </w:p>
        </w:tc>
        <w:tc>
          <w:tcPr>
            <w:tcW w:w="1909" w:type="dxa"/>
          </w:tcPr>
          <w:p>
            <w:pPr>
              <w:pStyle w:val="TableParagraph"/>
              <w:spacing w:before="40"/>
              <w:ind w:left="104"/>
              <w:rPr>
                <w:sz w:val="18"/>
              </w:rPr>
            </w:pPr>
            <w:r>
              <w:rPr>
                <w:spacing w:val="-5"/>
                <w:sz w:val="18"/>
              </w:rPr>
              <w:t>任何</w:t>
            </w:r>
          </w:p>
        </w:tc>
        <w:tc>
          <w:tcPr>
            <w:tcW w:w="1909" w:type="dxa"/>
          </w:tcPr>
          <w:p>
            <w:pPr>
              <w:pStyle w:val="TableParagraph"/>
              <w:spacing w:before="40"/>
              <w:ind w:left="106"/>
              <w:rPr>
                <w:sz w:val="18"/>
              </w:rPr>
            </w:pPr>
            <w:r>
              <w:rPr>
                <w:sz w:val="18"/>
              </w:rPr>
              <w:t>1</w:t>
            </w:r>
          </w:p>
        </w:tc>
      </w:tr>
      <w:tr>
        <w:trPr>
          <w:trHeight w:val="311" w:hRule="atLeast"/>
        </w:trPr>
        <w:tc>
          <w:tcPr>
            <w:tcW w:w="7681" w:type="dxa"/>
            <w:gridSpan w:val="4"/>
          </w:tcPr>
          <w:p>
            <w:pPr>
              <w:pStyle w:val="TableParagraph"/>
              <w:rPr>
                <w:sz w:val="18"/>
              </w:rPr>
            </w:pPr>
            <w:r>
              <w:rPr>
                <w:sz w:val="18"/>
              </w:rPr>
              <w:t>未分化癌（所有年龄组</w:t>
            </w:r>
            <w:r>
              <w:rPr>
                <w:spacing w:val="-10"/>
                <w:sz w:val="18"/>
              </w:rPr>
              <w:t>）</w:t>
            </w:r>
          </w:p>
        </w:tc>
      </w:tr>
      <w:tr>
        <w:trPr>
          <w:trHeight w:val="311" w:hRule="atLeast"/>
        </w:trPr>
        <w:tc>
          <w:tcPr>
            <w:tcW w:w="1952" w:type="dxa"/>
          </w:tcPr>
          <w:p>
            <w:pPr>
              <w:pStyle w:val="TableParagraph"/>
              <w:rPr>
                <w:sz w:val="18"/>
              </w:rPr>
            </w:pPr>
            <w:r>
              <w:rPr>
                <w:sz w:val="18"/>
              </w:rPr>
              <w:t>ⅣA</w:t>
            </w:r>
            <w:r>
              <w:rPr>
                <w:spacing w:val="-27"/>
                <w:sz w:val="18"/>
              </w:rPr>
              <w:t> 期</w:t>
            </w:r>
          </w:p>
        </w:tc>
        <w:tc>
          <w:tcPr>
            <w:tcW w:w="1911" w:type="dxa"/>
          </w:tcPr>
          <w:p>
            <w:pPr>
              <w:pStyle w:val="TableParagraph"/>
              <w:rPr>
                <w:sz w:val="18"/>
              </w:rPr>
            </w:pPr>
            <w:r>
              <w:rPr>
                <w:spacing w:val="-4"/>
                <w:sz w:val="18"/>
              </w:rPr>
              <w:t>1～3a</w:t>
            </w:r>
          </w:p>
        </w:tc>
        <w:tc>
          <w:tcPr>
            <w:tcW w:w="1909" w:type="dxa"/>
          </w:tcPr>
          <w:p>
            <w:pPr>
              <w:pStyle w:val="TableParagraph"/>
              <w:ind w:left="104"/>
              <w:rPr>
                <w:sz w:val="18"/>
              </w:rPr>
            </w:pPr>
            <w:r>
              <w:rPr>
                <w:spacing w:val="-5"/>
                <w:sz w:val="18"/>
              </w:rPr>
              <w:t>0/x</w:t>
            </w:r>
          </w:p>
        </w:tc>
        <w:tc>
          <w:tcPr>
            <w:tcW w:w="1909" w:type="dxa"/>
          </w:tcPr>
          <w:p>
            <w:pPr>
              <w:pStyle w:val="TableParagraph"/>
              <w:ind w:left="106"/>
              <w:rPr>
                <w:sz w:val="18"/>
              </w:rPr>
            </w:pPr>
            <w:r>
              <w:rPr>
                <w:sz w:val="18"/>
              </w:rPr>
              <w:t>0</w:t>
            </w:r>
          </w:p>
        </w:tc>
      </w:tr>
      <w:tr>
        <w:trPr>
          <w:trHeight w:val="311" w:hRule="atLeast"/>
        </w:trPr>
        <w:tc>
          <w:tcPr>
            <w:tcW w:w="1952" w:type="dxa"/>
            <w:vMerge w:val="restart"/>
          </w:tcPr>
          <w:p>
            <w:pPr>
              <w:pStyle w:val="TableParagraph"/>
              <w:spacing w:before="6"/>
              <w:ind w:left="0"/>
              <w:rPr>
                <w:sz w:val="15"/>
              </w:rPr>
            </w:pPr>
          </w:p>
          <w:p>
            <w:pPr>
              <w:pStyle w:val="TableParagraph"/>
              <w:spacing w:before="1"/>
              <w:rPr>
                <w:sz w:val="18"/>
              </w:rPr>
            </w:pPr>
            <w:r>
              <w:rPr>
                <w:sz w:val="18"/>
              </w:rPr>
              <w:t>ⅣB</w:t>
            </w:r>
            <w:r>
              <w:rPr>
                <w:spacing w:val="-27"/>
                <w:sz w:val="18"/>
              </w:rPr>
              <w:t> 期</w:t>
            </w:r>
          </w:p>
        </w:tc>
        <w:tc>
          <w:tcPr>
            <w:tcW w:w="1911" w:type="dxa"/>
          </w:tcPr>
          <w:p>
            <w:pPr>
              <w:pStyle w:val="TableParagraph"/>
              <w:rPr>
                <w:sz w:val="18"/>
              </w:rPr>
            </w:pPr>
            <w:r>
              <w:rPr>
                <w:spacing w:val="-4"/>
                <w:sz w:val="18"/>
              </w:rPr>
              <w:t>1～3a</w:t>
            </w:r>
          </w:p>
        </w:tc>
        <w:tc>
          <w:tcPr>
            <w:tcW w:w="1909" w:type="dxa"/>
          </w:tcPr>
          <w:p>
            <w:pPr>
              <w:pStyle w:val="TableParagraph"/>
              <w:ind w:left="104"/>
              <w:rPr>
                <w:sz w:val="18"/>
              </w:rPr>
            </w:pPr>
            <w:r>
              <w:rPr>
                <w:sz w:val="18"/>
              </w:rPr>
              <w:t>1</w:t>
            </w:r>
          </w:p>
        </w:tc>
        <w:tc>
          <w:tcPr>
            <w:tcW w:w="1909" w:type="dxa"/>
          </w:tcPr>
          <w:p>
            <w:pPr>
              <w:pStyle w:val="TableParagraph"/>
              <w:ind w:left="106"/>
              <w:rPr>
                <w:sz w:val="18"/>
              </w:rPr>
            </w:pPr>
            <w:r>
              <w:rPr>
                <w:sz w:val="18"/>
              </w:rPr>
              <w:t>0</w:t>
            </w:r>
          </w:p>
        </w:tc>
      </w:tr>
      <w:tr>
        <w:trPr>
          <w:trHeight w:val="311" w:hRule="atLeast"/>
        </w:trPr>
        <w:tc>
          <w:tcPr>
            <w:tcW w:w="1952" w:type="dxa"/>
            <w:vMerge/>
            <w:tcBorders>
              <w:top w:val="nil"/>
            </w:tcBorders>
          </w:tcPr>
          <w:p>
            <w:pPr>
              <w:rPr>
                <w:sz w:val="2"/>
                <w:szCs w:val="2"/>
              </w:rPr>
            </w:pPr>
          </w:p>
        </w:tc>
        <w:tc>
          <w:tcPr>
            <w:tcW w:w="1911" w:type="dxa"/>
          </w:tcPr>
          <w:p>
            <w:pPr>
              <w:pStyle w:val="TableParagraph"/>
              <w:rPr>
                <w:sz w:val="18"/>
              </w:rPr>
            </w:pPr>
            <w:r>
              <w:rPr>
                <w:spacing w:val="-4"/>
                <w:sz w:val="18"/>
              </w:rPr>
              <w:t>3b～4</w:t>
            </w:r>
          </w:p>
        </w:tc>
        <w:tc>
          <w:tcPr>
            <w:tcW w:w="1909" w:type="dxa"/>
          </w:tcPr>
          <w:p>
            <w:pPr>
              <w:pStyle w:val="TableParagraph"/>
              <w:ind w:left="104"/>
              <w:rPr>
                <w:sz w:val="18"/>
              </w:rPr>
            </w:pPr>
            <w:r>
              <w:rPr>
                <w:spacing w:val="-5"/>
                <w:sz w:val="18"/>
              </w:rPr>
              <w:t>任何</w:t>
            </w:r>
          </w:p>
        </w:tc>
        <w:tc>
          <w:tcPr>
            <w:tcW w:w="1909" w:type="dxa"/>
          </w:tcPr>
          <w:p>
            <w:pPr>
              <w:pStyle w:val="TableParagraph"/>
              <w:ind w:left="106"/>
              <w:rPr>
                <w:sz w:val="18"/>
              </w:rPr>
            </w:pPr>
            <w:r>
              <w:rPr>
                <w:sz w:val="18"/>
              </w:rPr>
              <w:t>0</w:t>
            </w:r>
          </w:p>
        </w:tc>
      </w:tr>
      <w:tr>
        <w:trPr>
          <w:trHeight w:val="313" w:hRule="atLeast"/>
        </w:trPr>
        <w:tc>
          <w:tcPr>
            <w:tcW w:w="1952" w:type="dxa"/>
          </w:tcPr>
          <w:p>
            <w:pPr>
              <w:pStyle w:val="TableParagraph"/>
              <w:rPr>
                <w:sz w:val="18"/>
              </w:rPr>
            </w:pPr>
            <w:r>
              <w:rPr>
                <w:sz w:val="18"/>
              </w:rPr>
              <w:t>ⅣC</w:t>
            </w:r>
            <w:r>
              <w:rPr>
                <w:spacing w:val="-27"/>
                <w:sz w:val="18"/>
              </w:rPr>
              <w:t> 期</w:t>
            </w:r>
          </w:p>
        </w:tc>
        <w:tc>
          <w:tcPr>
            <w:tcW w:w="1911" w:type="dxa"/>
          </w:tcPr>
          <w:p>
            <w:pPr>
              <w:pStyle w:val="TableParagraph"/>
              <w:rPr>
                <w:sz w:val="18"/>
              </w:rPr>
            </w:pPr>
            <w:r>
              <w:rPr>
                <w:spacing w:val="-5"/>
                <w:sz w:val="18"/>
              </w:rPr>
              <w:t>任何</w:t>
            </w:r>
          </w:p>
        </w:tc>
        <w:tc>
          <w:tcPr>
            <w:tcW w:w="1909" w:type="dxa"/>
          </w:tcPr>
          <w:p>
            <w:pPr>
              <w:pStyle w:val="TableParagraph"/>
              <w:ind w:left="104"/>
              <w:rPr>
                <w:sz w:val="18"/>
              </w:rPr>
            </w:pPr>
            <w:r>
              <w:rPr>
                <w:spacing w:val="-5"/>
                <w:sz w:val="18"/>
              </w:rPr>
              <w:t>任何</w:t>
            </w:r>
          </w:p>
        </w:tc>
        <w:tc>
          <w:tcPr>
            <w:tcW w:w="1909" w:type="dxa"/>
          </w:tcPr>
          <w:p>
            <w:pPr>
              <w:pStyle w:val="TableParagraph"/>
              <w:ind w:left="106"/>
              <w:rPr>
                <w:sz w:val="18"/>
              </w:rPr>
            </w:pPr>
            <w:r>
              <w:rPr>
                <w:sz w:val="18"/>
              </w:rPr>
              <w:t>1</w:t>
            </w:r>
          </w:p>
        </w:tc>
      </w:tr>
    </w:tbl>
    <w:p>
      <w:pPr>
        <w:spacing w:before="49"/>
        <w:ind w:left="958" w:right="0" w:firstLine="0"/>
        <w:jc w:val="left"/>
        <w:rPr>
          <w:sz w:val="18"/>
        </w:rPr>
      </w:pPr>
      <w:r>
        <w:rPr>
          <w:spacing w:val="-1"/>
          <w:sz w:val="18"/>
        </w:rPr>
        <w:t>注：以上表格中“年龄”指患者病理组织标本获取日期时的年龄。</w:t>
      </w:r>
    </w:p>
    <w:p>
      <w:pPr>
        <w:pStyle w:val="BodyText"/>
        <w:spacing w:before="66"/>
      </w:pPr>
      <w:r>
        <w:rPr>
          <w:spacing w:val="-2"/>
        </w:rPr>
        <w:t>（十五）</w:t>
      </w:r>
      <w:r>
        <w:rPr>
          <w:b/>
          <w:spacing w:val="-2"/>
        </w:rPr>
        <w:t>治疗行为：</w:t>
      </w:r>
      <w:r>
        <w:rPr>
          <w:spacing w:val="-3"/>
        </w:rPr>
        <w:t>指以治疗“恶性肿瘤——重度”为目的采用的必要的医疗手段。</w:t>
      </w:r>
    </w:p>
    <w:p>
      <w:pPr>
        <w:pStyle w:val="BodyText"/>
        <w:spacing w:line="278" w:lineRule="auto" w:before="43"/>
        <w:ind w:left="1090" w:right="1550"/>
        <w:jc w:val="both"/>
      </w:pPr>
      <w:r>
        <w:rPr>
          <w:spacing w:val="-2"/>
        </w:rPr>
        <w:t>每次申请理赔时应提供由专科医生出具的客观诊断程序的报告，以确认“恶性肿</w:t>
      </w:r>
      <w:r>
        <w:rPr>
          <w:spacing w:val="-2"/>
        </w:rPr>
        <w:t>瘤——重度”的存在并正在接受治疗，且该客观诊断的诊断日期应在首次“恶性</w:t>
      </w:r>
      <w:r>
        <w:rPr>
          <w:spacing w:val="-2"/>
        </w:rPr>
        <w:t>肿瘤——重度”确诊之日起 </w:t>
      </w:r>
      <w:r>
        <w:rPr/>
        <w:t>365</w:t>
      </w:r>
      <w:r>
        <w:rPr>
          <w:spacing w:val="-6"/>
        </w:rPr>
        <w:t> 日以后。</w:t>
      </w:r>
    </w:p>
    <w:p>
      <w:pPr>
        <w:pStyle w:val="BodyText"/>
        <w:spacing w:line="278" w:lineRule="auto"/>
        <w:ind w:left="1090" w:right="1549" w:hanging="852"/>
        <w:jc w:val="both"/>
      </w:pPr>
      <w:r>
        <w:rPr>
          <w:spacing w:val="-4"/>
        </w:rPr>
        <w:t>（十六）</w:t>
      </w:r>
      <w:r>
        <w:rPr>
          <w:b/>
          <w:spacing w:val="-4"/>
        </w:rPr>
        <w:t>毒品：</w:t>
      </w:r>
      <w:r>
        <w:rPr>
          <w:spacing w:val="-4"/>
        </w:rPr>
        <w:t>指《中华人民共和国刑法》规定的鸦片、海洛因、甲基苯丙胺（冰毒）、吗</w:t>
      </w:r>
      <w:r>
        <w:rPr>
          <w:spacing w:val="-2"/>
        </w:rPr>
        <w:t>啡、大麻、可卡因以及国家规定管制的其他能够使人形成瘾癖的麻醉药品和精神</w:t>
      </w:r>
      <w:r>
        <w:rPr>
          <w:spacing w:val="-2"/>
        </w:rPr>
        <w:t>药品。但不包括由医生开具并遵医嘱使用的用于治疗疾病但含有毒品成分的处方</w:t>
      </w:r>
      <w:r>
        <w:rPr>
          <w:spacing w:val="-4"/>
        </w:rPr>
        <w:t>药品。</w:t>
      </w:r>
    </w:p>
    <w:p>
      <w:pPr>
        <w:pStyle w:val="BodyText"/>
        <w:spacing w:line="278" w:lineRule="auto"/>
        <w:ind w:left="1090" w:right="1549" w:hanging="852"/>
        <w:jc w:val="both"/>
      </w:pPr>
      <w:r>
        <w:rPr>
          <w:spacing w:val="-2"/>
        </w:rPr>
        <w:t>（十七）</w:t>
      </w:r>
      <w:r>
        <w:rPr>
          <w:b/>
          <w:spacing w:val="-2"/>
        </w:rPr>
        <w:t>酒后驾驶：</w:t>
      </w:r>
      <w:r>
        <w:rPr>
          <w:spacing w:val="-2"/>
        </w:rPr>
        <w:t>指经检测或鉴定，发生事故时车辆驾驶人员每百毫升血液中的酒精含</w:t>
      </w:r>
      <w:r>
        <w:rPr>
          <w:spacing w:val="-7"/>
        </w:rPr>
        <w:t>量达到或超过一定的标准，公安机关交通管理部门依据《中华人民共和国道路交通</w:t>
      </w:r>
      <w:r>
        <w:rPr>
          <w:spacing w:val="-2"/>
        </w:rPr>
        <w:t>安全法》的规定认定为饮酒后驾驶或醉酒后驾驶。</w:t>
      </w:r>
    </w:p>
    <w:p>
      <w:pPr>
        <w:spacing w:line="269" w:lineRule="exact" w:before="0"/>
        <w:ind w:left="238" w:right="0" w:firstLine="0"/>
        <w:jc w:val="left"/>
        <w:rPr>
          <w:sz w:val="21"/>
        </w:rPr>
      </w:pPr>
      <w:r>
        <w:rPr>
          <w:spacing w:val="-2"/>
          <w:sz w:val="21"/>
        </w:rPr>
        <w:t>（十八）</w:t>
      </w:r>
      <w:r>
        <w:rPr>
          <w:b/>
          <w:spacing w:val="-2"/>
          <w:sz w:val="21"/>
        </w:rPr>
        <w:t>无合法有效驾驶证驾驶：</w:t>
      </w:r>
      <w:r>
        <w:rPr>
          <w:spacing w:val="-4"/>
          <w:sz w:val="21"/>
        </w:rPr>
        <w:t>指下列情形之一：</w:t>
      </w:r>
    </w:p>
    <w:p>
      <w:pPr>
        <w:pStyle w:val="ListParagraph"/>
        <w:numPr>
          <w:ilvl w:val="1"/>
          <w:numId w:val="12"/>
        </w:numPr>
        <w:tabs>
          <w:tab w:pos="1371" w:val="left" w:leader="none"/>
        </w:tabs>
        <w:spacing w:line="240" w:lineRule="auto" w:before="42" w:after="0"/>
        <w:ind w:left="1370" w:right="0" w:hanging="281"/>
        <w:jc w:val="left"/>
        <w:rPr>
          <w:sz w:val="21"/>
        </w:rPr>
      </w:pPr>
      <w:r>
        <w:rPr>
          <w:spacing w:val="-3"/>
          <w:sz w:val="21"/>
        </w:rPr>
        <w:t>没有取得驾驶资格；</w:t>
      </w:r>
    </w:p>
    <w:p>
      <w:pPr>
        <w:pStyle w:val="ListParagraph"/>
        <w:numPr>
          <w:ilvl w:val="1"/>
          <w:numId w:val="12"/>
        </w:numPr>
        <w:tabs>
          <w:tab w:pos="1371" w:val="left" w:leader="none"/>
        </w:tabs>
        <w:spacing w:line="240" w:lineRule="auto" w:before="43" w:after="0"/>
        <w:ind w:left="1370" w:right="0" w:hanging="281"/>
        <w:jc w:val="left"/>
        <w:rPr>
          <w:sz w:val="21"/>
        </w:rPr>
      </w:pPr>
      <w:r>
        <w:rPr>
          <w:spacing w:val="-3"/>
          <w:sz w:val="21"/>
        </w:rPr>
        <w:t>持已过期或已注销驾驶证驾驶；</w:t>
      </w:r>
    </w:p>
    <w:p>
      <w:pPr>
        <w:pStyle w:val="ListParagraph"/>
        <w:numPr>
          <w:ilvl w:val="1"/>
          <w:numId w:val="12"/>
        </w:numPr>
        <w:tabs>
          <w:tab w:pos="1371" w:val="left" w:leader="none"/>
        </w:tabs>
        <w:spacing w:line="240" w:lineRule="auto" w:before="43" w:after="0"/>
        <w:ind w:left="1370" w:right="0" w:hanging="281"/>
        <w:jc w:val="left"/>
        <w:rPr>
          <w:sz w:val="21"/>
        </w:rPr>
      </w:pPr>
      <w:r>
        <w:rPr>
          <w:spacing w:val="-3"/>
          <w:sz w:val="21"/>
        </w:rPr>
        <w:t>驾驶与驾驶证准驾车型不相符合的车辆；</w:t>
      </w:r>
    </w:p>
    <w:p>
      <w:pPr>
        <w:pStyle w:val="ListParagraph"/>
        <w:numPr>
          <w:ilvl w:val="1"/>
          <w:numId w:val="12"/>
        </w:numPr>
        <w:tabs>
          <w:tab w:pos="1371" w:val="left" w:leader="none"/>
        </w:tabs>
        <w:spacing w:line="240" w:lineRule="auto" w:before="44" w:after="0"/>
        <w:ind w:left="1370" w:right="0" w:hanging="281"/>
        <w:jc w:val="left"/>
        <w:rPr>
          <w:sz w:val="21"/>
        </w:rPr>
      </w:pPr>
      <w:r>
        <w:rPr>
          <w:spacing w:val="-3"/>
          <w:sz w:val="21"/>
        </w:rPr>
        <w:t>持审验不合格的驾驶证驾驶；</w:t>
      </w:r>
    </w:p>
    <w:p>
      <w:pPr>
        <w:pStyle w:val="ListParagraph"/>
        <w:numPr>
          <w:ilvl w:val="1"/>
          <w:numId w:val="12"/>
        </w:numPr>
        <w:tabs>
          <w:tab w:pos="1371" w:val="left" w:leader="none"/>
        </w:tabs>
        <w:spacing w:line="278" w:lineRule="auto" w:before="43" w:after="0"/>
        <w:ind w:left="1090" w:right="1559" w:firstLine="0"/>
        <w:jc w:val="left"/>
        <w:rPr>
          <w:sz w:val="21"/>
        </w:rPr>
      </w:pPr>
      <w:r>
        <w:rPr>
          <w:spacing w:val="3"/>
          <w:w w:val="100"/>
          <w:sz w:val="21"/>
        </w:rPr>
        <w:t>持学习驾驶证学习驾车时，无教练员随车指导，或不按指定时间路线学习驾车。</w:t>
      </w:r>
    </w:p>
    <w:p>
      <w:pPr>
        <w:spacing w:line="269" w:lineRule="exact" w:before="0"/>
        <w:ind w:left="238" w:right="0" w:firstLine="0"/>
        <w:jc w:val="left"/>
        <w:rPr>
          <w:sz w:val="21"/>
        </w:rPr>
      </w:pPr>
      <w:r>
        <w:rPr>
          <w:spacing w:val="-2"/>
          <w:sz w:val="21"/>
        </w:rPr>
        <w:t>（十九）</w:t>
      </w:r>
      <w:r>
        <w:rPr>
          <w:b/>
          <w:spacing w:val="-2"/>
          <w:sz w:val="21"/>
        </w:rPr>
        <w:t>无合法有效行驶证：</w:t>
      </w:r>
      <w:r>
        <w:rPr>
          <w:spacing w:val="-4"/>
          <w:sz w:val="21"/>
        </w:rPr>
        <w:t>指下列情形之一：</w:t>
      </w:r>
    </w:p>
    <w:p>
      <w:pPr>
        <w:pStyle w:val="ListParagraph"/>
        <w:numPr>
          <w:ilvl w:val="0"/>
          <w:numId w:val="13"/>
        </w:numPr>
        <w:tabs>
          <w:tab w:pos="1371" w:val="left" w:leader="none"/>
        </w:tabs>
        <w:spacing w:line="240" w:lineRule="auto" w:before="42" w:after="0"/>
        <w:ind w:left="1370" w:right="0" w:hanging="281"/>
        <w:jc w:val="left"/>
        <w:rPr>
          <w:sz w:val="21"/>
        </w:rPr>
      </w:pPr>
      <w:r>
        <w:rPr>
          <w:spacing w:val="-3"/>
          <w:sz w:val="21"/>
        </w:rPr>
        <w:t>没有机动车行驶证；</w:t>
      </w:r>
    </w:p>
    <w:p>
      <w:pPr>
        <w:pStyle w:val="ListParagraph"/>
        <w:numPr>
          <w:ilvl w:val="0"/>
          <w:numId w:val="13"/>
        </w:numPr>
        <w:tabs>
          <w:tab w:pos="1371" w:val="left" w:leader="none"/>
        </w:tabs>
        <w:spacing w:line="240" w:lineRule="auto" w:before="43" w:after="0"/>
        <w:ind w:left="1370" w:right="0" w:hanging="281"/>
        <w:jc w:val="left"/>
        <w:rPr>
          <w:sz w:val="21"/>
        </w:rPr>
      </w:pPr>
      <w:r>
        <w:rPr>
          <w:spacing w:val="-3"/>
          <w:sz w:val="21"/>
        </w:rPr>
        <w:t>未在法律规定期限内按时进行或通过安全技术检验。</w:t>
      </w:r>
    </w:p>
    <w:p>
      <w:pPr>
        <w:spacing w:before="43"/>
        <w:ind w:left="238" w:right="0" w:firstLine="0"/>
        <w:jc w:val="left"/>
        <w:rPr>
          <w:sz w:val="21"/>
        </w:rPr>
      </w:pPr>
      <w:r>
        <w:rPr>
          <w:sz w:val="21"/>
        </w:rPr>
        <w:t>（二十）</w:t>
      </w:r>
      <w:r>
        <w:rPr>
          <w:b/>
          <w:spacing w:val="5"/>
          <w:sz w:val="21"/>
        </w:rPr>
        <w:t>感染艾滋病病毒或患艾滋病： </w:t>
      </w:r>
      <w:r>
        <w:rPr>
          <w:spacing w:val="12"/>
          <w:sz w:val="21"/>
        </w:rPr>
        <w:t>艾滋病病毒指人类免疫缺陷病毒，英文缩写为</w:t>
      </w:r>
    </w:p>
    <w:p>
      <w:pPr>
        <w:spacing w:after="0"/>
        <w:jc w:val="left"/>
        <w:rPr>
          <w:sz w:val="21"/>
        </w:rPr>
        <w:sectPr>
          <w:pgSz w:w="11910" w:h="16840"/>
          <w:pgMar w:header="0" w:footer="1005" w:top="1420" w:bottom="1200" w:left="1560" w:right="240"/>
        </w:sectPr>
      </w:pPr>
    </w:p>
    <w:p>
      <w:pPr>
        <w:pStyle w:val="BodyText"/>
        <w:spacing w:line="278" w:lineRule="auto" w:before="44"/>
        <w:ind w:left="1090" w:right="1538"/>
      </w:pPr>
      <w:r>
        <w:rPr/>
        <w:t>HIV</w:t>
      </w:r>
      <w:r>
        <w:rPr>
          <w:spacing w:val="9"/>
        </w:rPr>
        <w:t>。艾滋病指人类免疫缺陷病毒引起的获得性免疫缺陷综合征，英文缩写为</w:t>
      </w:r>
      <w:r>
        <w:rPr/>
        <w:t> </w:t>
      </w:r>
      <w:r>
        <w:rPr>
          <w:spacing w:val="-2"/>
        </w:rPr>
        <w:t>AIDS。</w:t>
      </w:r>
    </w:p>
    <w:p>
      <w:pPr>
        <w:pStyle w:val="BodyText"/>
        <w:spacing w:line="278" w:lineRule="auto"/>
        <w:ind w:left="1090" w:right="1550"/>
        <w:jc w:val="both"/>
      </w:pPr>
      <w:r>
        <w:rPr>
          <w:spacing w:val="-2"/>
        </w:rPr>
        <w:t>在人体血液或其他样本中检测到艾滋病病毒或其抗体呈阳性，没有出现临床症状</w:t>
      </w:r>
      <w:r>
        <w:rPr>
          <w:spacing w:val="-2"/>
        </w:rPr>
        <w:t>或体征的，为感染艾滋病病毒；如果同时出现了明显临床症状或体征的，为患艾</w:t>
      </w:r>
      <w:r>
        <w:rPr>
          <w:spacing w:val="-4"/>
        </w:rPr>
        <w:t>滋病。</w:t>
      </w:r>
    </w:p>
    <w:p>
      <w:pPr>
        <w:pStyle w:val="BodyText"/>
        <w:spacing w:line="278" w:lineRule="auto"/>
        <w:ind w:left="1298" w:right="1548" w:hanging="1061"/>
      </w:pPr>
      <w:r>
        <w:rPr>
          <w:spacing w:val="-4"/>
        </w:rPr>
        <w:t>（二十一）</w:t>
      </w:r>
      <w:r>
        <w:rPr>
          <w:b/>
          <w:spacing w:val="-4"/>
        </w:rPr>
        <w:t>遗传性疾病：</w:t>
      </w:r>
      <w:r>
        <w:rPr>
          <w:spacing w:val="-4"/>
        </w:rPr>
        <w:t>指生殖细胞或受精卵的遗传物质（染色体和基因）发生突变或畸变</w:t>
      </w:r>
      <w:r>
        <w:rPr>
          <w:spacing w:val="-2"/>
        </w:rPr>
        <w:t>所引起的疾病，通常具有由亲代传至后代的垂直传递的特征。</w:t>
      </w:r>
    </w:p>
    <w:p>
      <w:pPr>
        <w:pStyle w:val="BodyText"/>
        <w:spacing w:line="278" w:lineRule="auto"/>
        <w:ind w:left="1298" w:right="1551" w:hanging="1061"/>
        <w:jc w:val="both"/>
      </w:pPr>
      <w:r>
        <w:rPr>
          <w:spacing w:val="-2"/>
        </w:rPr>
        <w:t>（二十二）</w:t>
      </w:r>
      <w:r>
        <w:rPr>
          <w:b/>
          <w:spacing w:val="-2"/>
        </w:rPr>
        <w:t>先天性畸形、变形或染色体异常：</w:t>
      </w:r>
      <w:r>
        <w:rPr>
          <w:spacing w:val="-2"/>
        </w:rPr>
        <w:t>指被保险人出生时就具有的畸形、变形或染</w:t>
      </w:r>
      <w:r>
        <w:rPr>
          <w:spacing w:val="-6"/>
        </w:rPr>
        <w:t>色体异常。先天性畸形、变形和染色体异常依照世界卫生组织《疾病和有关健康</w:t>
      </w:r>
      <w:r>
        <w:rPr>
          <w:spacing w:val="-2"/>
        </w:rPr>
        <w:t>问题的国际统计分类》第十次修订版（ICD-10）确定。</w:t>
      </w:r>
    </w:p>
    <w:p>
      <w:pPr>
        <w:pStyle w:val="BodyText"/>
        <w:spacing w:line="278" w:lineRule="auto"/>
        <w:ind w:left="1298" w:right="1666" w:hanging="1061"/>
      </w:pPr>
      <w:r>
        <w:rPr>
          <w:spacing w:val="-2"/>
        </w:rPr>
        <w:t>（二十三）</w:t>
      </w:r>
      <w:r>
        <w:rPr>
          <w:b/>
          <w:spacing w:val="-2"/>
        </w:rPr>
        <w:t>应付利息：</w:t>
      </w:r>
      <w:r>
        <w:rPr>
          <w:spacing w:val="-2"/>
        </w:rPr>
        <w:t>指补交保险费或贷款的利息，根据补交保险费或贷款的数额、经过</w:t>
      </w:r>
      <w:r>
        <w:rPr>
          <w:spacing w:val="-2"/>
        </w:rPr>
        <w:t>日数按日利率依复利方式计算。保单贷款日利率=（1+保单贷款年利率）</w:t>
      </w:r>
    </w:p>
    <w:p>
      <w:pPr>
        <w:pStyle w:val="BodyText"/>
        <w:spacing w:line="269" w:lineRule="exact"/>
        <w:ind w:left="1298"/>
      </w:pPr>
      <w:r>
        <w:rPr>
          <w:spacing w:val="-2"/>
        </w:rPr>
        <w:t>^(1/365)-1</w:t>
      </w:r>
      <w:r>
        <w:rPr>
          <w:spacing w:val="-3"/>
        </w:rPr>
        <w:t>，保单贷款年利率由本公司定期公布。</w:t>
      </w:r>
    </w:p>
    <w:p>
      <w:pPr>
        <w:pStyle w:val="BodyText"/>
        <w:spacing w:line="278" w:lineRule="auto" w:before="43"/>
        <w:ind w:left="1298" w:right="1551" w:hanging="1061"/>
      </w:pPr>
      <w:r>
        <w:rPr/>
        <w:t>（二十四）</w:t>
      </w:r>
      <w:r>
        <w:rPr>
          <w:spacing w:val="-8"/>
        </w:rPr>
        <w:t>凡本合同涉及的 </w:t>
      </w:r>
      <w:r>
        <w:rPr/>
        <w:t>3</w:t>
      </w:r>
      <w:r>
        <w:rPr>
          <w:spacing w:val="-22"/>
        </w:rPr>
        <w:t> 日、</w:t>
      </w:r>
      <w:r>
        <w:rPr/>
        <w:t>10</w:t>
      </w:r>
      <w:r>
        <w:rPr>
          <w:spacing w:val="-22"/>
        </w:rPr>
        <w:t> 日、</w:t>
      </w:r>
      <w:r>
        <w:rPr/>
        <w:t>15</w:t>
      </w:r>
      <w:r>
        <w:rPr>
          <w:spacing w:val="-22"/>
        </w:rPr>
        <w:t> 日、</w:t>
      </w:r>
      <w:r>
        <w:rPr/>
        <w:t>28</w:t>
      </w:r>
      <w:r>
        <w:rPr>
          <w:spacing w:val="-21"/>
        </w:rPr>
        <w:t> 日、</w:t>
      </w:r>
      <w:r>
        <w:rPr/>
        <w:t>30</w:t>
      </w:r>
      <w:r>
        <w:rPr>
          <w:spacing w:val="-21"/>
        </w:rPr>
        <w:t> 日、</w:t>
      </w:r>
      <w:r>
        <w:rPr/>
        <w:t>60</w:t>
      </w:r>
      <w:r>
        <w:rPr>
          <w:spacing w:val="-21"/>
        </w:rPr>
        <w:t> 日、</w:t>
      </w:r>
      <w:r>
        <w:rPr/>
        <w:t>180</w:t>
      </w:r>
      <w:r>
        <w:rPr>
          <w:spacing w:val="-32"/>
        </w:rPr>
        <w:t> 日和 </w:t>
      </w:r>
      <w:r>
        <w:rPr/>
        <w:t>365</w:t>
      </w:r>
      <w:r>
        <w:rPr>
          <w:spacing w:val="-17"/>
        </w:rPr>
        <w:t> 日均为</w:t>
      </w:r>
      <w:r>
        <w:rPr>
          <w:spacing w:val="-4"/>
        </w:rPr>
        <w:t>自然日。</w:t>
      </w:r>
    </w:p>
    <w:p>
      <w:pPr>
        <w:spacing w:after="0" w:line="278" w:lineRule="auto"/>
        <w:sectPr>
          <w:pgSz w:w="11910" w:h="16840"/>
          <w:pgMar w:header="0" w:footer="1005" w:top="1400" w:bottom="1200" w:left="1560" w:right="240"/>
        </w:sectPr>
      </w:pPr>
    </w:p>
    <w:p>
      <w:pPr>
        <w:pStyle w:val="BodyText"/>
        <w:spacing w:before="44"/>
      </w:pPr>
      <w:r>
        <w:rPr>
          <w:spacing w:val="-4"/>
        </w:rPr>
        <w:t>附表一：</w:t>
      </w:r>
    </w:p>
    <w:p>
      <w:pPr>
        <w:spacing w:line="240" w:lineRule="auto" w:before="3"/>
        <w:rPr>
          <w:sz w:val="35"/>
        </w:rPr>
      </w:pPr>
      <w:r>
        <w:rPr/>
        <w:br w:type="column"/>
      </w:r>
      <w:r>
        <w:rPr>
          <w:sz w:val="35"/>
        </w:rPr>
      </w:r>
    </w:p>
    <w:p>
      <w:pPr>
        <w:pStyle w:val="Heading1"/>
      </w:pPr>
      <w:r>
        <w:rPr>
          <w:spacing w:val="-2"/>
          <w:w w:val="95"/>
        </w:rPr>
        <w:t>重大疾病列表</w:t>
      </w:r>
    </w:p>
    <w:p>
      <w:pPr>
        <w:spacing w:after="0"/>
        <w:sectPr>
          <w:pgSz w:w="11910" w:h="16840"/>
          <w:pgMar w:header="0" w:footer="1005" w:top="1400" w:bottom="1200" w:left="1560" w:right="240"/>
          <w:cols w:num="2" w:equalWidth="0">
            <w:col w:w="1121" w:space="2131"/>
            <w:col w:w="6858"/>
          </w:cols>
        </w:sectPr>
      </w:pPr>
    </w:p>
    <w:p>
      <w:pPr>
        <w:pStyle w:val="BodyText"/>
        <w:spacing w:before="4"/>
        <w:ind w:left="0"/>
        <w:rPr>
          <w:b/>
          <w:sz w:val="29"/>
        </w:rPr>
      </w:pPr>
    </w:p>
    <w:p>
      <w:pPr>
        <w:pStyle w:val="Heading4"/>
        <w:spacing w:line="266" w:lineRule="auto"/>
      </w:pPr>
      <w:r>
        <w:rPr>
          <w:spacing w:val="-2"/>
          <w:w w:val="95"/>
        </w:rPr>
        <w:t>本</w:t>
      </w:r>
      <w:r>
        <w:rPr>
          <w:spacing w:val="-2"/>
          <w:w w:val="95"/>
        </w:rPr>
        <w:t>合</w:t>
      </w:r>
      <w:r>
        <w:rPr>
          <w:spacing w:val="-13"/>
          <w:w w:val="95"/>
        </w:rPr>
        <w:t>同所指重大疾病，是被</w:t>
      </w:r>
      <w:r>
        <w:rPr>
          <w:spacing w:val="-2"/>
          <w:w w:val="95"/>
        </w:rPr>
        <w:t>保</w:t>
      </w:r>
      <w:r>
        <w:rPr>
          <w:spacing w:val="-2"/>
          <w:w w:val="95"/>
        </w:rPr>
        <w:t>险</w:t>
      </w:r>
      <w:r>
        <w:rPr>
          <w:spacing w:val="-2"/>
          <w:w w:val="95"/>
        </w:rPr>
        <w:t>人发生符合以下定义</w:t>
      </w:r>
      <w:r>
        <w:rPr>
          <w:spacing w:val="-2"/>
          <w:w w:val="95"/>
        </w:rPr>
        <w:t>所</w:t>
      </w:r>
      <w:r>
        <w:rPr>
          <w:spacing w:val="-2"/>
          <w:w w:val="95"/>
        </w:rPr>
        <w:t>述</w:t>
      </w:r>
      <w:r>
        <w:rPr>
          <w:spacing w:val="-14"/>
          <w:w w:val="95"/>
        </w:rPr>
        <w:t>条件的疾病、疾病状态</w:t>
      </w:r>
      <w:r>
        <w:rPr>
          <w:spacing w:val="-2"/>
          <w:w w:val="95"/>
        </w:rPr>
        <w:t>或</w:t>
      </w:r>
      <w:r>
        <w:rPr>
          <w:spacing w:val="-2"/>
          <w:w w:val="95"/>
        </w:rPr>
        <w:t>手</w:t>
      </w:r>
      <w:r>
        <w:rPr>
          <w:spacing w:val="-2"/>
          <w:w w:val="95"/>
        </w:rPr>
        <w:t>术，</w:t>
      </w:r>
      <w:r>
        <w:rPr>
          <w:spacing w:val="-2"/>
          <w:w w:val="95"/>
        </w:rPr>
        <w:t>共</w:t>
      </w:r>
      <w:r>
        <w:rPr>
          <w:spacing w:val="-2"/>
          <w:w w:val="95"/>
        </w:rPr>
        <w:t>计</w:t>
      </w:r>
      <w:r>
        <w:rPr>
          <w:spacing w:val="-2"/>
          <w:w w:val="95"/>
        </w:rPr>
        <w:t>一百种，该疾病</w:t>
      </w:r>
      <w:r>
        <w:rPr>
          <w:spacing w:val="-2"/>
          <w:w w:val="95"/>
        </w:rPr>
        <w:t>或</w:t>
      </w:r>
      <w:r>
        <w:rPr>
          <w:spacing w:val="-2"/>
          <w:w w:val="95"/>
        </w:rPr>
        <w:t>手</w:t>
      </w:r>
      <w:r>
        <w:rPr>
          <w:spacing w:val="-2"/>
          <w:w w:val="95"/>
        </w:rPr>
        <w:t>术</w:t>
      </w:r>
      <w:r>
        <w:rPr>
          <w:spacing w:val="-2"/>
          <w:w w:val="95"/>
        </w:rPr>
        <w:t>应</w:t>
      </w:r>
      <w:r>
        <w:rPr>
          <w:spacing w:val="-2"/>
          <w:w w:val="95"/>
        </w:rPr>
        <w:t>由专科医生明确诊断，其中前二十八种疾</w:t>
      </w:r>
      <w:r>
        <w:rPr>
          <w:spacing w:val="-2"/>
          <w:w w:val="95"/>
        </w:rPr>
        <w:t>病</w:t>
      </w:r>
      <w:r>
        <w:rPr>
          <w:spacing w:val="-2"/>
          <w:w w:val="95"/>
        </w:rPr>
        <w:t>为</w:t>
      </w:r>
      <w:r>
        <w:rPr>
          <w:spacing w:val="-2"/>
          <w:w w:val="95"/>
        </w:rPr>
        <w:t>中</w:t>
      </w:r>
      <w:r>
        <w:rPr>
          <w:spacing w:val="-2"/>
          <w:w w:val="95"/>
        </w:rPr>
        <w:t>国</w:t>
      </w:r>
      <w:r>
        <w:rPr>
          <w:spacing w:val="-2"/>
          <w:w w:val="95"/>
        </w:rPr>
        <w:t>保险行</w:t>
      </w:r>
      <w:r>
        <w:rPr>
          <w:spacing w:val="-2"/>
          <w:w w:val="95"/>
        </w:rPr>
        <w:t>业</w:t>
      </w:r>
      <w:r>
        <w:rPr>
          <w:spacing w:val="-2"/>
          <w:w w:val="95"/>
        </w:rPr>
        <w:t>协</w:t>
      </w:r>
      <w:r>
        <w:rPr>
          <w:w w:val="95"/>
        </w:rPr>
        <w:t>会</w:t>
      </w:r>
      <w:r>
        <w:rPr>
          <w:w w:val="95"/>
        </w:rPr>
        <w:t>发</w:t>
      </w:r>
      <w:r>
        <w:rPr>
          <w:w w:val="95"/>
        </w:rPr>
        <w:t>布的《重大疾病保险</w:t>
      </w:r>
      <w:r>
        <w:rPr>
          <w:w w:val="95"/>
        </w:rPr>
        <w:t>的</w:t>
      </w:r>
      <w:r>
        <w:rPr>
          <w:w w:val="95"/>
        </w:rPr>
        <w:t>疾</w:t>
      </w:r>
      <w:r>
        <w:rPr>
          <w:w w:val="95"/>
        </w:rPr>
        <w:t>病定义使用规范（2020</w:t>
      </w:r>
      <w:r>
        <w:rPr>
          <w:spacing w:val="-9"/>
          <w:w w:val="95"/>
        </w:rPr>
        <w:t> 年修订版</w:t>
      </w:r>
      <w:r>
        <w:rPr>
          <w:spacing w:val="-106"/>
          <w:w w:val="95"/>
        </w:rPr>
        <w:t>）</w:t>
      </w:r>
      <w:r>
        <w:rPr>
          <w:w w:val="95"/>
        </w:rPr>
        <w:t>》中列明的重</w:t>
      </w:r>
      <w:r>
        <w:rPr>
          <w:w w:val="95"/>
        </w:rPr>
        <w:t>度</w:t>
      </w:r>
      <w:r>
        <w:rPr>
          <w:w w:val="95"/>
        </w:rPr>
        <w:t>疾</w:t>
      </w:r>
      <w:r>
        <w:rPr>
          <w:w w:val="95"/>
        </w:rPr>
        <w:t>病，其</w:t>
      </w:r>
      <w:r>
        <w:rPr>
          <w:w w:val="95"/>
        </w:rPr>
        <w:t>他</w:t>
      </w:r>
      <w:r>
        <w:rPr>
          <w:spacing w:val="-2"/>
        </w:rPr>
        <w:t>为</w:t>
      </w:r>
      <w:r>
        <w:rPr>
          <w:spacing w:val="-2"/>
        </w:rPr>
        <w:t>本</w:t>
      </w:r>
      <w:r>
        <w:rPr>
          <w:spacing w:val="-2"/>
        </w:rPr>
        <w:t>公司增加的疾病。</w:t>
      </w:r>
    </w:p>
    <w:p>
      <w:pPr>
        <w:pStyle w:val="Heading5"/>
        <w:spacing w:before="7"/>
      </w:pPr>
      <w:r>
        <w:rPr>
          <w:spacing w:val="-3"/>
        </w:rPr>
        <w:t>一、恶性肿瘤——重度</w:t>
      </w:r>
    </w:p>
    <w:p>
      <w:pPr>
        <w:pStyle w:val="BodyText"/>
        <w:spacing w:line="278" w:lineRule="auto" w:before="43"/>
        <w:ind w:right="1551"/>
        <w:jc w:val="both"/>
      </w:pPr>
      <w:r>
        <w:rPr>
          <w:spacing w:val="-4"/>
        </w:rPr>
        <w:t>指恶性细胞不受控制的进行性增长和扩散，浸润和破坏周围正常组织，可以经血管、淋巴管</w:t>
      </w:r>
      <w:r>
        <w:rPr>
          <w:spacing w:val="-4"/>
        </w:rPr>
        <w:t>和体腔扩散转移到身体其他部位，病灶经组织病理学检查（涵盖骨髓病理学检查）结果明确</w:t>
      </w:r>
      <w:r>
        <w:rPr>
          <w:spacing w:val="-2"/>
        </w:rPr>
        <w:t>诊断，临床诊断属于世界卫生组织（WHO，World Health </w:t>
      </w:r>
      <w:r>
        <w:rPr>
          <w:spacing w:val="6"/>
        </w:rPr>
        <w:t>O</w:t>
      </w:r>
      <w:r>
        <w:rPr>
          <w:spacing w:val="3"/>
        </w:rPr>
        <w:t>r</w:t>
      </w:r>
      <w:r>
        <w:rPr>
          <w:spacing w:val="6"/>
        </w:rPr>
        <w:t>gan</w:t>
      </w:r>
      <w:r>
        <w:rPr>
          <w:spacing w:val="3"/>
        </w:rPr>
        <w:t>i</w:t>
      </w:r>
      <w:r>
        <w:rPr>
          <w:spacing w:val="6"/>
        </w:rPr>
        <w:t>zat</w:t>
      </w:r>
      <w:r>
        <w:rPr>
          <w:spacing w:val="3"/>
        </w:rPr>
        <w:t>i</w:t>
      </w:r>
      <w:r>
        <w:rPr>
          <w:spacing w:val="6"/>
        </w:rPr>
        <w:t>o</w:t>
      </w:r>
      <w:r>
        <w:rPr>
          <w:spacing w:val="5"/>
        </w:rPr>
        <w:t>n</w:t>
      </w:r>
      <w:r>
        <w:rPr>
          <w:spacing w:val="-100"/>
        </w:rPr>
        <w:t>）</w:t>
      </w:r>
      <w:r>
        <w:rPr>
          <w:spacing w:val="-2"/>
        </w:rPr>
        <w:t>《疾病和有关健康</w:t>
      </w:r>
      <w:r>
        <w:rPr>
          <w:spacing w:val="-4"/>
        </w:rPr>
        <w:t>问题的国际统计分类》第十次修订版（ICD-10）的恶性肿瘤类别及《国际疾病分类肿瘤学专</w:t>
      </w:r>
      <w:r>
        <w:rPr/>
        <w:t>辑》第三版（ICD-O-3）</w:t>
      </w:r>
      <w:r>
        <w:rPr>
          <w:spacing w:val="-4"/>
        </w:rPr>
        <w:t>的肿瘤形态学编码属于 </w:t>
      </w:r>
      <w:r>
        <w:rPr/>
        <w:t>3、6、9（恶性肿瘤）范畴的疾病。</w:t>
      </w:r>
    </w:p>
    <w:p>
      <w:pPr>
        <w:spacing w:before="0"/>
        <w:ind w:left="238" w:right="0" w:firstLine="0"/>
        <w:jc w:val="left"/>
        <w:rPr>
          <w:b/>
          <w:sz w:val="21"/>
        </w:rPr>
      </w:pPr>
      <w:r>
        <w:rPr>
          <w:b/>
          <w:spacing w:val="-10"/>
          <w:sz w:val="21"/>
        </w:rPr>
        <w:t>下列疾病不属于“恶性肿瘤——重度”，不在保障范围内：</w:t>
      </w:r>
    </w:p>
    <w:p>
      <w:pPr>
        <w:pStyle w:val="ListParagraph"/>
        <w:numPr>
          <w:ilvl w:val="0"/>
          <w:numId w:val="14"/>
        </w:numPr>
        <w:tabs>
          <w:tab w:pos="767" w:val="left" w:leader="none"/>
        </w:tabs>
        <w:spacing w:line="278" w:lineRule="auto" w:before="43" w:after="0"/>
        <w:ind w:left="238" w:right="1551" w:firstLine="0"/>
        <w:jc w:val="left"/>
        <w:rPr>
          <w:b/>
          <w:sz w:val="21"/>
        </w:rPr>
      </w:pPr>
      <w:r>
        <w:rPr>
          <w:b/>
          <w:sz w:val="21"/>
        </w:rPr>
        <w:t>ICD-O-3</w:t>
      </w:r>
      <w:r>
        <w:rPr>
          <w:b/>
          <w:spacing w:val="-8"/>
          <w:sz w:val="21"/>
        </w:rPr>
        <w:t> 肿瘤形态学编码属于 </w:t>
      </w:r>
      <w:r>
        <w:rPr>
          <w:b/>
          <w:sz w:val="21"/>
        </w:rPr>
        <w:t>0（良性肿瘤</w:t>
      </w:r>
      <w:r>
        <w:rPr>
          <w:b/>
          <w:spacing w:val="-106"/>
          <w:sz w:val="21"/>
        </w:rPr>
        <w:t>）</w:t>
      </w:r>
      <w:r>
        <w:rPr>
          <w:b/>
          <w:sz w:val="21"/>
        </w:rPr>
        <w:t>、1（动态未定性肿瘤</w:t>
      </w:r>
      <w:r>
        <w:rPr>
          <w:b/>
          <w:spacing w:val="-106"/>
          <w:sz w:val="21"/>
        </w:rPr>
        <w:t>）</w:t>
      </w:r>
      <w:r>
        <w:rPr>
          <w:b/>
          <w:sz w:val="21"/>
        </w:rPr>
        <w:t>、2（原位癌和非</w:t>
      </w:r>
      <w:r>
        <w:rPr>
          <w:b/>
          <w:spacing w:val="-2"/>
          <w:sz w:val="21"/>
        </w:rPr>
        <w:t>侵袭性癌）范畴的疾病，如：</w:t>
      </w:r>
    </w:p>
    <w:p>
      <w:pPr>
        <w:pStyle w:val="ListParagraph"/>
        <w:numPr>
          <w:ilvl w:val="0"/>
          <w:numId w:val="15"/>
        </w:numPr>
        <w:tabs>
          <w:tab w:pos="452" w:val="left" w:leader="none"/>
        </w:tabs>
        <w:spacing w:line="278" w:lineRule="auto" w:before="0" w:after="0"/>
        <w:ind w:left="238" w:right="1549" w:firstLine="0"/>
        <w:jc w:val="left"/>
        <w:rPr>
          <w:b/>
          <w:sz w:val="21"/>
        </w:rPr>
      </w:pPr>
      <w:r>
        <w:rPr>
          <w:b/>
          <w:spacing w:val="-2"/>
          <w:sz w:val="21"/>
        </w:rPr>
        <w:t>原位癌，癌前病变，非浸润性癌，非侵袭性癌，肿瘤细胞未侵犯基底层，上皮内瘤变，</w:t>
      </w:r>
      <w:r>
        <w:rPr>
          <w:b/>
          <w:spacing w:val="-2"/>
          <w:sz w:val="21"/>
        </w:rPr>
        <w:t>细胞不典型性增生等；</w:t>
      </w:r>
    </w:p>
    <w:p>
      <w:pPr>
        <w:pStyle w:val="ListParagraph"/>
        <w:numPr>
          <w:ilvl w:val="0"/>
          <w:numId w:val="15"/>
        </w:numPr>
        <w:tabs>
          <w:tab w:pos="451" w:val="left" w:leader="none"/>
        </w:tabs>
        <w:spacing w:line="269" w:lineRule="exact" w:before="0" w:after="0"/>
        <w:ind w:left="450" w:right="0" w:hanging="213"/>
        <w:jc w:val="left"/>
        <w:rPr>
          <w:b/>
          <w:sz w:val="21"/>
        </w:rPr>
      </w:pPr>
      <w:r>
        <w:rPr>
          <w:b/>
          <w:spacing w:val="-3"/>
          <w:sz w:val="21"/>
        </w:rPr>
        <w:t>交界性肿瘤，交界恶性肿瘤，肿瘤低度恶性潜能，潜在低度恶性肿瘤等；</w:t>
      </w:r>
    </w:p>
    <w:p>
      <w:pPr>
        <w:pStyle w:val="ListParagraph"/>
        <w:numPr>
          <w:ilvl w:val="0"/>
          <w:numId w:val="14"/>
        </w:numPr>
        <w:tabs>
          <w:tab w:pos="767" w:val="left" w:leader="none"/>
        </w:tabs>
        <w:spacing w:line="240" w:lineRule="auto" w:before="42" w:after="0"/>
        <w:ind w:left="767" w:right="0" w:hanging="529"/>
        <w:jc w:val="left"/>
        <w:rPr>
          <w:b/>
          <w:sz w:val="21"/>
        </w:rPr>
      </w:pPr>
      <w:r>
        <w:rPr>
          <w:b/>
          <w:w w:val="95"/>
          <w:sz w:val="21"/>
        </w:rPr>
        <w:t>TNM</w:t>
      </w:r>
      <w:r>
        <w:rPr>
          <w:b/>
          <w:spacing w:val="60"/>
          <w:w w:val="150"/>
          <w:sz w:val="21"/>
        </w:rPr>
        <w:t> </w:t>
      </w:r>
      <w:r>
        <w:rPr>
          <w:b/>
          <w:w w:val="95"/>
          <w:sz w:val="21"/>
        </w:rPr>
        <w:t>分</w:t>
      </w:r>
      <w:r>
        <w:rPr>
          <w:b/>
          <w:w w:val="95"/>
          <w:sz w:val="21"/>
        </w:rPr>
        <w:t>期</w:t>
      </w:r>
      <w:r>
        <w:rPr>
          <w:b/>
          <w:w w:val="95"/>
          <w:sz w:val="21"/>
        </w:rPr>
        <w:t>为</w:t>
      </w:r>
      <w:r>
        <w:rPr>
          <w:b/>
          <w:w w:val="95"/>
          <w:sz w:val="21"/>
        </w:rPr>
        <w:t>Ⅰ</w:t>
      </w:r>
      <w:r>
        <w:rPr>
          <w:b/>
          <w:w w:val="95"/>
          <w:sz w:val="21"/>
        </w:rPr>
        <w:t>期</w:t>
      </w:r>
      <w:r>
        <w:rPr>
          <w:b/>
          <w:w w:val="95"/>
          <w:sz w:val="21"/>
        </w:rPr>
        <w:t>或</w:t>
      </w:r>
      <w:r>
        <w:rPr>
          <w:b/>
          <w:w w:val="95"/>
          <w:sz w:val="21"/>
        </w:rPr>
        <w:t>更</w:t>
      </w:r>
      <w:r>
        <w:rPr>
          <w:b/>
          <w:w w:val="95"/>
          <w:sz w:val="21"/>
        </w:rPr>
        <w:t>轻</w:t>
      </w:r>
      <w:r>
        <w:rPr>
          <w:b/>
          <w:w w:val="95"/>
          <w:sz w:val="21"/>
        </w:rPr>
        <w:t>分</w:t>
      </w:r>
      <w:r>
        <w:rPr>
          <w:b/>
          <w:w w:val="95"/>
          <w:sz w:val="21"/>
        </w:rPr>
        <w:t>期</w:t>
      </w:r>
      <w:r>
        <w:rPr>
          <w:b/>
          <w:w w:val="95"/>
          <w:sz w:val="21"/>
        </w:rPr>
        <w:t>的</w:t>
      </w:r>
      <w:r>
        <w:rPr>
          <w:b/>
          <w:w w:val="95"/>
          <w:sz w:val="21"/>
        </w:rPr>
        <w:t>甲</w:t>
      </w:r>
      <w:r>
        <w:rPr>
          <w:b/>
          <w:w w:val="95"/>
          <w:sz w:val="21"/>
        </w:rPr>
        <w:t>状</w:t>
      </w:r>
      <w:r>
        <w:rPr>
          <w:b/>
          <w:w w:val="95"/>
          <w:sz w:val="21"/>
        </w:rPr>
        <w:t>腺</w:t>
      </w:r>
      <w:r>
        <w:rPr>
          <w:b/>
          <w:w w:val="95"/>
          <w:sz w:val="21"/>
        </w:rPr>
        <w:t>癌</w:t>
      </w:r>
      <w:r>
        <w:rPr>
          <w:b/>
          <w:spacing w:val="-10"/>
          <w:w w:val="95"/>
          <w:sz w:val="21"/>
        </w:rPr>
        <w:t>；</w:t>
      </w:r>
    </w:p>
    <w:p>
      <w:pPr>
        <w:pStyle w:val="ListParagraph"/>
        <w:numPr>
          <w:ilvl w:val="0"/>
          <w:numId w:val="14"/>
        </w:numPr>
        <w:tabs>
          <w:tab w:pos="767" w:val="left" w:leader="none"/>
        </w:tabs>
        <w:spacing w:line="240" w:lineRule="auto" w:before="43" w:after="0"/>
        <w:ind w:left="767" w:right="0" w:hanging="529"/>
        <w:jc w:val="left"/>
        <w:rPr>
          <w:b/>
          <w:sz w:val="21"/>
        </w:rPr>
      </w:pPr>
      <w:r>
        <w:rPr>
          <w:b/>
          <w:w w:val="95"/>
          <w:position w:val="1"/>
          <w:sz w:val="21"/>
        </w:rPr>
        <w:t>TNM</w:t>
      </w:r>
      <w:r>
        <w:rPr>
          <w:b/>
          <w:spacing w:val="14"/>
          <w:position w:val="1"/>
          <w:sz w:val="21"/>
        </w:rPr>
        <w:t> </w:t>
      </w:r>
      <w:r>
        <w:rPr>
          <w:b/>
          <w:w w:val="95"/>
          <w:position w:val="1"/>
          <w:sz w:val="21"/>
        </w:rPr>
        <w:t>分</w:t>
      </w:r>
      <w:r>
        <w:rPr>
          <w:b/>
          <w:w w:val="95"/>
          <w:position w:val="1"/>
          <w:sz w:val="21"/>
        </w:rPr>
        <w:t>期</w:t>
      </w:r>
      <w:r>
        <w:rPr>
          <w:b/>
          <w:w w:val="95"/>
          <w:position w:val="1"/>
          <w:sz w:val="21"/>
        </w:rPr>
        <w:t>为</w:t>
      </w:r>
      <w:r>
        <w:rPr>
          <w:b/>
          <w:spacing w:val="14"/>
          <w:position w:val="1"/>
          <w:sz w:val="21"/>
        </w:rPr>
        <w:t> </w:t>
      </w:r>
      <w:r>
        <w:rPr>
          <w:b/>
          <w:w w:val="95"/>
          <w:position w:val="1"/>
          <w:sz w:val="21"/>
        </w:rPr>
        <w:t>T</w:t>
      </w:r>
      <w:r>
        <w:rPr>
          <w:b/>
          <w:w w:val="95"/>
          <w:sz w:val="11"/>
        </w:rPr>
        <w:t>1</w:t>
      </w:r>
      <w:r>
        <w:rPr>
          <w:b/>
          <w:w w:val="95"/>
          <w:position w:val="1"/>
          <w:sz w:val="21"/>
        </w:rPr>
        <w:t>N</w:t>
      </w:r>
      <w:r>
        <w:rPr>
          <w:b/>
          <w:w w:val="95"/>
          <w:sz w:val="11"/>
        </w:rPr>
        <w:t>0</w:t>
      </w:r>
      <w:r>
        <w:rPr>
          <w:b/>
          <w:w w:val="95"/>
          <w:position w:val="1"/>
          <w:sz w:val="21"/>
        </w:rPr>
        <w:t>M</w:t>
      </w:r>
      <w:r>
        <w:rPr>
          <w:b/>
          <w:w w:val="95"/>
          <w:sz w:val="11"/>
        </w:rPr>
        <w:t>0</w:t>
      </w:r>
      <w:r>
        <w:rPr>
          <w:b/>
          <w:spacing w:val="10"/>
          <w:sz w:val="11"/>
        </w:rPr>
        <w:t> </w:t>
      </w:r>
      <w:r>
        <w:rPr>
          <w:b/>
          <w:w w:val="95"/>
          <w:position w:val="1"/>
          <w:sz w:val="21"/>
        </w:rPr>
        <w:t>期</w:t>
      </w:r>
      <w:r>
        <w:rPr>
          <w:b/>
          <w:w w:val="95"/>
          <w:position w:val="1"/>
          <w:sz w:val="21"/>
        </w:rPr>
        <w:t>或</w:t>
      </w:r>
      <w:r>
        <w:rPr>
          <w:b/>
          <w:w w:val="95"/>
          <w:position w:val="1"/>
          <w:sz w:val="21"/>
        </w:rPr>
        <w:t>更</w:t>
      </w:r>
      <w:r>
        <w:rPr>
          <w:b/>
          <w:w w:val="95"/>
          <w:position w:val="1"/>
          <w:sz w:val="21"/>
        </w:rPr>
        <w:t>轻</w:t>
      </w:r>
      <w:r>
        <w:rPr>
          <w:b/>
          <w:w w:val="95"/>
          <w:position w:val="1"/>
          <w:sz w:val="21"/>
        </w:rPr>
        <w:t>分</w:t>
      </w:r>
      <w:r>
        <w:rPr>
          <w:b/>
          <w:w w:val="95"/>
          <w:position w:val="1"/>
          <w:sz w:val="21"/>
        </w:rPr>
        <w:t>期</w:t>
      </w:r>
      <w:r>
        <w:rPr>
          <w:b/>
          <w:w w:val="95"/>
          <w:position w:val="1"/>
          <w:sz w:val="21"/>
        </w:rPr>
        <w:t>的</w:t>
      </w:r>
      <w:r>
        <w:rPr>
          <w:b/>
          <w:w w:val="95"/>
          <w:position w:val="1"/>
          <w:sz w:val="21"/>
        </w:rPr>
        <w:t>前</w:t>
      </w:r>
      <w:r>
        <w:rPr>
          <w:b/>
          <w:w w:val="95"/>
          <w:position w:val="1"/>
          <w:sz w:val="21"/>
        </w:rPr>
        <w:t>列</w:t>
      </w:r>
      <w:r>
        <w:rPr>
          <w:b/>
          <w:w w:val="95"/>
          <w:position w:val="1"/>
          <w:sz w:val="21"/>
        </w:rPr>
        <w:t>腺</w:t>
      </w:r>
      <w:r>
        <w:rPr>
          <w:b/>
          <w:w w:val="95"/>
          <w:position w:val="1"/>
          <w:sz w:val="21"/>
        </w:rPr>
        <w:t>癌</w:t>
      </w:r>
      <w:r>
        <w:rPr>
          <w:b/>
          <w:spacing w:val="-10"/>
          <w:w w:val="95"/>
          <w:position w:val="1"/>
          <w:sz w:val="21"/>
        </w:rPr>
        <w:t>；</w:t>
      </w:r>
    </w:p>
    <w:p>
      <w:pPr>
        <w:pStyle w:val="ListParagraph"/>
        <w:numPr>
          <w:ilvl w:val="0"/>
          <w:numId w:val="14"/>
        </w:numPr>
        <w:tabs>
          <w:tab w:pos="767" w:val="left" w:leader="none"/>
        </w:tabs>
        <w:spacing w:line="240" w:lineRule="auto" w:before="43" w:after="0"/>
        <w:ind w:left="767" w:right="0" w:hanging="529"/>
        <w:jc w:val="left"/>
        <w:rPr>
          <w:b/>
          <w:sz w:val="21"/>
        </w:rPr>
      </w:pPr>
      <w:r>
        <w:rPr>
          <w:b/>
          <w:spacing w:val="-3"/>
          <w:sz w:val="21"/>
        </w:rPr>
        <w:t>黑色素瘤以外的未发生淋巴结和远处转移的皮肤恶性肿瘤；</w:t>
      </w:r>
    </w:p>
    <w:p>
      <w:pPr>
        <w:pStyle w:val="ListParagraph"/>
        <w:numPr>
          <w:ilvl w:val="0"/>
          <w:numId w:val="14"/>
        </w:numPr>
        <w:tabs>
          <w:tab w:pos="767" w:val="left" w:leader="none"/>
        </w:tabs>
        <w:spacing w:line="240" w:lineRule="auto" w:before="43" w:after="0"/>
        <w:ind w:left="767" w:right="0" w:hanging="529"/>
        <w:jc w:val="left"/>
        <w:rPr>
          <w:b/>
          <w:sz w:val="21"/>
        </w:rPr>
      </w:pPr>
      <w:r>
        <w:rPr>
          <w:b/>
          <w:w w:val="95"/>
          <w:sz w:val="21"/>
        </w:rPr>
        <w:t>相</w:t>
      </w:r>
      <w:r>
        <w:rPr>
          <w:b/>
          <w:w w:val="95"/>
          <w:sz w:val="21"/>
        </w:rPr>
        <w:t>当</w:t>
      </w:r>
      <w:r>
        <w:rPr>
          <w:b/>
          <w:w w:val="95"/>
          <w:sz w:val="21"/>
        </w:rPr>
        <w:t>于</w:t>
      </w:r>
      <w:r>
        <w:rPr>
          <w:b/>
          <w:spacing w:val="3"/>
          <w:sz w:val="21"/>
        </w:rPr>
        <w:t> </w:t>
      </w:r>
      <w:r>
        <w:rPr>
          <w:b/>
          <w:w w:val="95"/>
          <w:sz w:val="21"/>
        </w:rPr>
        <w:t>Binet</w:t>
      </w:r>
      <w:r>
        <w:rPr>
          <w:b/>
          <w:spacing w:val="3"/>
          <w:sz w:val="21"/>
        </w:rPr>
        <w:t> </w:t>
      </w:r>
      <w:r>
        <w:rPr>
          <w:b/>
          <w:w w:val="95"/>
          <w:sz w:val="21"/>
        </w:rPr>
        <w:t>分</w:t>
      </w:r>
      <w:r>
        <w:rPr>
          <w:b/>
          <w:w w:val="95"/>
          <w:sz w:val="21"/>
        </w:rPr>
        <w:t>期</w:t>
      </w:r>
      <w:r>
        <w:rPr>
          <w:b/>
          <w:w w:val="95"/>
          <w:sz w:val="21"/>
        </w:rPr>
        <w:t>方案</w:t>
      </w:r>
      <w:r>
        <w:rPr>
          <w:b/>
          <w:spacing w:val="5"/>
          <w:sz w:val="21"/>
        </w:rPr>
        <w:t> </w:t>
      </w:r>
      <w:r>
        <w:rPr>
          <w:b/>
          <w:w w:val="95"/>
          <w:sz w:val="21"/>
        </w:rPr>
        <w:t>A</w:t>
      </w:r>
      <w:r>
        <w:rPr>
          <w:b/>
          <w:spacing w:val="4"/>
          <w:sz w:val="21"/>
        </w:rPr>
        <w:t> </w:t>
      </w:r>
      <w:r>
        <w:rPr>
          <w:b/>
          <w:w w:val="95"/>
          <w:sz w:val="21"/>
        </w:rPr>
        <w:t>期</w:t>
      </w:r>
      <w:r>
        <w:rPr>
          <w:b/>
          <w:w w:val="95"/>
          <w:sz w:val="21"/>
        </w:rPr>
        <w:t>程</w:t>
      </w:r>
      <w:r>
        <w:rPr>
          <w:b/>
          <w:w w:val="95"/>
          <w:sz w:val="21"/>
        </w:rPr>
        <w:t>度</w:t>
      </w:r>
      <w:r>
        <w:rPr>
          <w:b/>
          <w:w w:val="95"/>
          <w:sz w:val="21"/>
        </w:rPr>
        <w:t>的</w:t>
      </w:r>
      <w:r>
        <w:rPr>
          <w:b/>
          <w:w w:val="95"/>
          <w:sz w:val="21"/>
        </w:rPr>
        <w:t>慢</w:t>
      </w:r>
      <w:r>
        <w:rPr>
          <w:b/>
          <w:w w:val="95"/>
          <w:sz w:val="21"/>
        </w:rPr>
        <w:t>性</w:t>
      </w:r>
      <w:r>
        <w:rPr>
          <w:b/>
          <w:w w:val="95"/>
          <w:sz w:val="21"/>
        </w:rPr>
        <w:t>淋</w:t>
      </w:r>
      <w:r>
        <w:rPr>
          <w:b/>
          <w:w w:val="95"/>
          <w:sz w:val="21"/>
        </w:rPr>
        <w:t>巴</w:t>
      </w:r>
      <w:r>
        <w:rPr>
          <w:b/>
          <w:w w:val="95"/>
          <w:sz w:val="21"/>
        </w:rPr>
        <w:t>细</w:t>
      </w:r>
      <w:r>
        <w:rPr>
          <w:b/>
          <w:w w:val="95"/>
          <w:sz w:val="21"/>
        </w:rPr>
        <w:t>胞</w:t>
      </w:r>
      <w:r>
        <w:rPr>
          <w:b/>
          <w:w w:val="95"/>
          <w:sz w:val="21"/>
        </w:rPr>
        <w:t>白</w:t>
      </w:r>
      <w:r>
        <w:rPr>
          <w:b/>
          <w:w w:val="95"/>
          <w:sz w:val="21"/>
        </w:rPr>
        <w:t>血</w:t>
      </w:r>
      <w:r>
        <w:rPr>
          <w:b/>
          <w:w w:val="95"/>
          <w:sz w:val="21"/>
        </w:rPr>
        <w:t>病</w:t>
      </w:r>
      <w:r>
        <w:rPr>
          <w:b/>
          <w:spacing w:val="-10"/>
          <w:w w:val="95"/>
          <w:sz w:val="21"/>
        </w:rPr>
        <w:t>；</w:t>
      </w:r>
    </w:p>
    <w:p>
      <w:pPr>
        <w:pStyle w:val="ListParagraph"/>
        <w:numPr>
          <w:ilvl w:val="0"/>
          <w:numId w:val="14"/>
        </w:numPr>
        <w:tabs>
          <w:tab w:pos="767" w:val="left" w:leader="none"/>
        </w:tabs>
        <w:spacing w:line="240" w:lineRule="auto" w:before="43" w:after="0"/>
        <w:ind w:left="767" w:right="0" w:hanging="529"/>
        <w:jc w:val="left"/>
        <w:rPr>
          <w:b/>
          <w:sz w:val="21"/>
        </w:rPr>
      </w:pPr>
      <w:r>
        <w:rPr>
          <w:b/>
          <w:spacing w:val="-14"/>
          <w:sz w:val="21"/>
        </w:rPr>
        <w:t>相当于 </w:t>
      </w:r>
      <w:r>
        <w:rPr>
          <w:b/>
          <w:sz w:val="21"/>
        </w:rPr>
        <w:t>Ann</w:t>
      </w:r>
      <w:r>
        <w:rPr>
          <w:b/>
          <w:spacing w:val="-16"/>
          <w:sz w:val="21"/>
        </w:rPr>
        <w:t> </w:t>
      </w:r>
      <w:r>
        <w:rPr>
          <w:b/>
          <w:sz w:val="21"/>
        </w:rPr>
        <w:t>Arbor</w:t>
      </w:r>
      <w:r>
        <w:rPr>
          <w:b/>
          <w:spacing w:val="-9"/>
          <w:sz w:val="21"/>
        </w:rPr>
        <w:t> 分期方案Ⅰ期程度的何杰金氏病；</w:t>
      </w:r>
    </w:p>
    <w:p>
      <w:pPr>
        <w:pStyle w:val="ListParagraph"/>
        <w:numPr>
          <w:ilvl w:val="0"/>
          <w:numId w:val="14"/>
        </w:numPr>
        <w:tabs>
          <w:tab w:pos="767" w:val="left" w:leader="none"/>
        </w:tabs>
        <w:spacing w:line="278" w:lineRule="auto" w:before="43" w:after="0"/>
        <w:ind w:left="238" w:right="1445" w:firstLine="0"/>
        <w:jc w:val="left"/>
        <w:rPr>
          <w:b/>
          <w:sz w:val="21"/>
        </w:rPr>
      </w:pPr>
      <w:r>
        <w:rPr>
          <w:b/>
          <w:spacing w:val="-5"/>
          <w:sz w:val="21"/>
        </w:rPr>
        <w:t>未发生淋巴结和远处转移且 </w:t>
      </w:r>
      <w:r>
        <w:rPr>
          <w:b/>
          <w:sz w:val="21"/>
        </w:rPr>
        <w:t>WHO</w:t>
      </w:r>
      <w:r>
        <w:rPr>
          <w:b/>
          <w:spacing w:val="-22"/>
          <w:sz w:val="21"/>
        </w:rPr>
        <w:t> 分级为 </w:t>
      </w:r>
      <w:r>
        <w:rPr>
          <w:b/>
          <w:sz w:val="21"/>
        </w:rPr>
        <w:t>G1</w:t>
      </w:r>
      <w:r>
        <w:rPr>
          <w:b/>
          <w:spacing w:val="-18"/>
          <w:sz w:val="21"/>
        </w:rPr>
        <w:t> 级别</w:t>
      </w:r>
      <w:r>
        <w:rPr>
          <w:b/>
          <w:sz w:val="21"/>
        </w:rPr>
        <w:t>（核分裂像&lt;10/50</w:t>
      </w:r>
      <w:r>
        <w:rPr>
          <w:b/>
          <w:spacing w:val="-27"/>
          <w:sz w:val="21"/>
        </w:rPr>
        <w:t> </w:t>
      </w:r>
      <w:r>
        <w:rPr>
          <w:b/>
          <w:sz w:val="21"/>
        </w:rPr>
        <w:t>HPF</w:t>
      </w:r>
      <w:r>
        <w:rPr>
          <w:b/>
          <w:spacing w:val="-36"/>
          <w:sz w:val="21"/>
        </w:rPr>
        <w:t> 和 </w:t>
      </w:r>
      <w:r>
        <w:rPr>
          <w:b/>
          <w:sz w:val="21"/>
        </w:rPr>
        <w:t>ki-67≤2%）</w:t>
      </w:r>
      <w:r>
        <w:rPr>
          <w:b/>
          <w:spacing w:val="-2"/>
          <w:sz w:val="21"/>
        </w:rPr>
        <w:t>或更轻分级的神经内分泌肿瘤。</w:t>
      </w:r>
    </w:p>
    <w:p>
      <w:pPr>
        <w:spacing w:line="269" w:lineRule="exact" w:before="0"/>
        <w:ind w:left="238" w:right="0" w:firstLine="0"/>
        <w:jc w:val="left"/>
        <w:rPr>
          <w:b/>
          <w:sz w:val="21"/>
        </w:rPr>
      </w:pPr>
      <w:r>
        <w:rPr>
          <w:b/>
          <w:spacing w:val="-3"/>
          <w:sz w:val="21"/>
        </w:rPr>
        <w:t>二、较重急性心肌梗死</w:t>
      </w:r>
    </w:p>
    <w:p>
      <w:pPr>
        <w:pStyle w:val="BodyText"/>
        <w:spacing w:line="278" w:lineRule="auto" w:before="43"/>
        <w:ind w:right="1547"/>
      </w:pPr>
      <w:r>
        <w:rPr>
          <w:w w:val="100"/>
        </w:rPr>
        <w:t>急性心肌梗死指由于冠状动脉闭塞或梗阻引起部分心肌严重的持久性缺血造成急性心肌坏</w:t>
      </w:r>
      <w:r>
        <w:rPr>
          <w:spacing w:val="4"/>
          <w:w w:val="100"/>
        </w:rPr>
        <w:t>死。急性心肌梗死的诊断必须依据国际国内诊断标准，符合（1）检测到肌酸激酶同工酶</w:t>
      </w:r>
    </w:p>
    <w:p>
      <w:pPr>
        <w:pStyle w:val="BodyText"/>
        <w:spacing w:line="278" w:lineRule="auto"/>
        <w:ind w:right="1548"/>
        <w:jc w:val="both"/>
      </w:pPr>
      <w:r>
        <w:rPr>
          <w:spacing w:val="-2"/>
        </w:rPr>
        <w:t>（CK-MB）或肌钙蛋白（cTn）升高和/或降低的动态变化，至少一次达到或超过心肌梗死的</w:t>
      </w:r>
      <w:r>
        <w:rPr>
          <w:spacing w:val="-19"/>
        </w:rPr>
        <w:t>临床诊断标准；</w:t>
      </w:r>
      <w:r>
        <w:rPr>
          <w:spacing w:val="30"/>
        </w:rPr>
        <w:t>（</w:t>
      </w:r>
      <w:r>
        <w:rPr>
          <w:spacing w:val="28"/>
        </w:rPr>
        <w:t>2</w:t>
      </w:r>
      <w:r>
        <w:rPr>
          <w:spacing w:val="11"/>
        </w:rPr>
        <w:t>）</w:t>
      </w:r>
      <w:r>
        <w:rPr>
          <w:spacing w:val="-6"/>
        </w:rPr>
        <w:t>同时存在下列之一的证据，包括：缺血性胸痛症状、新发生的缺血性心</w:t>
      </w:r>
      <w:r>
        <w:rPr>
          <w:spacing w:val="-6"/>
        </w:rPr>
        <w:t>电图改变、新生成的病理性 </w:t>
      </w:r>
      <w:r>
        <w:rPr>
          <w:spacing w:val="-4"/>
        </w:rPr>
        <w:t>Q</w:t>
      </w:r>
      <w:r>
        <w:rPr>
          <w:spacing w:val="-8"/>
        </w:rPr>
        <w:t> 波、影像学证据显示有新出现的心肌活性丧失或新出现局部室</w:t>
      </w:r>
      <w:r>
        <w:rPr>
          <w:spacing w:val="-2"/>
        </w:rPr>
        <w:t>壁运动异常、冠脉造影证实存在冠状动脉血栓。</w:t>
      </w:r>
    </w:p>
    <w:p>
      <w:pPr>
        <w:pStyle w:val="BodyText"/>
        <w:spacing w:line="278" w:lineRule="auto"/>
        <w:ind w:right="1548"/>
      </w:pPr>
      <w:r>
        <w:rPr>
          <w:spacing w:val="-6"/>
        </w:rPr>
        <w:t>较重急性心肌梗死指依照上述标准被明确诊断为急性心肌梗死，并且必须同时满足下列至少</w:t>
      </w:r>
      <w:r>
        <w:rPr>
          <w:spacing w:val="-2"/>
        </w:rPr>
        <w:t>一项条件：</w:t>
      </w:r>
    </w:p>
    <w:p>
      <w:pPr>
        <w:pStyle w:val="ListParagraph"/>
        <w:numPr>
          <w:ilvl w:val="0"/>
          <w:numId w:val="16"/>
        </w:numPr>
        <w:tabs>
          <w:tab w:pos="767" w:val="left" w:leader="none"/>
        </w:tabs>
        <w:spacing w:line="278" w:lineRule="auto" w:before="0" w:after="0"/>
        <w:ind w:left="238" w:right="1549" w:firstLine="0"/>
        <w:jc w:val="left"/>
        <w:rPr>
          <w:sz w:val="21"/>
        </w:rPr>
      </w:pPr>
      <w:r>
        <w:rPr>
          <w:spacing w:val="-2"/>
          <w:sz w:val="21"/>
        </w:rPr>
        <w:t>心肌损伤标志物肌钙蛋白（cTn）升高，至少一次检测结果达到该检验正常参考值上</w:t>
      </w:r>
      <w:r>
        <w:rPr>
          <w:spacing w:val="-8"/>
          <w:sz w:val="21"/>
        </w:rPr>
        <w:t>限的 </w:t>
      </w:r>
      <w:r>
        <w:rPr>
          <w:sz w:val="21"/>
        </w:rPr>
        <w:t>15</w:t>
      </w:r>
      <w:r>
        <w:rPr>
          <w:spacing w:val="-13"/>
          <w:sz w:val="21"/>
        </w:rPr>
        <w:t> 倍</w:t>
      </w:r>
      <w:r>
        <w:rPr>
          <w:sz w:val="21"/>
        </w:rPr>
        <w:t>（含）以上；</w:t>
      </w:r>
    </w:p>
    <w:p>
      <w:pPr>
        <w:pStyle w:val="ListParagraph"/>
        <w:numPr>
          <w:ilvl w:val="0"/>
          <w:numId w:val="16"/>
        </w:numPr>
        <w:tabs>
          <w:tab w:pos="774" w:val="left" w:leader="none"/>
        </w:tabs>
        <w:spacing w:line="278" w:lineRule="auto" w:before="0" w:after="0"/>
        <w:ind w:left="238" w:right="1551" w:firstLine="0"/>
        <w:jc w:val="left"/>
        <w:rPr>
          <w:sz w:val="21"/>
        </w:rPr>
      </w:pPr>
      <w:r>
        <w:rPr>
          <w:sz w:val="21"/>
        </w:rPr>
        <w:t>肌酸激酶同工酶（CK-MB）升高，至少一次检测结果达到该检验正常参考值上限的 2</w:t>
      </w:r>
      <w:r>
        <w:rPr>
          <w:spacing w:val="-2"/>
          <w:sz w:val="21"/>
        </w:rPr>
        <w:t>倍（含）以上；</w:t>
      </w:r>
    </w:p>
    <w:p>
      <w:pPr>
        <w:pStyle w:val="ListParagraph"/>
        <w:numPr>
          <w:ilvl w:val="0"/>
          <w:numId w:val="16"/>
        </w:numPr>
        <w:tabs>
          <w:tab w:pos="767" w:val="left" w:leader="none"/>
        </w:tabs>
        <w:spacing w:line="278" w:lineRule="auto" w:before="0" w:after="0"/>
        <w:ind w:left="238" w:right="1551" w:firstLine="0"/>
        <w:jc w:val="left"/>
        <w:rPr>
          <w:sz w:val="21"/>
        </w:rPr>
      </w:pPr>
      <w:r>
        <w:rPr>
          <w:spacing w:val="-3"/>
          <w:sz w:val="21"/>
        </w:rPr>
        <w:t>出现左心室收缩功能下降，在确诊 </w:t>
      </w:r>
      <w:r>
        <w:rPr>
          <w:sz w:val="21"/>
        </w:rPr>
        <w:t>6</w:t>
      </w:r>
      <w:r>
        <w:rPr>
          <w:spacing w:val="-7"/>
          <w:sz w:val="21"/>
        </w:rPr>
        <w:t> 周以后，检测左室射血分数</w:t>
      </w:r>
      <w:r>
        <w:rPr>
          <w:sz w:val="21"/>
        </w:rPr>
        <w:t>（LVEF）</w:t>
      </w:r>
      <w:r>
        <w:rPr>
          <w:spacing w:val="-15"/>
          <w:sz w:val="21"/>
        </w:rPr>
        <w:t>低于 </w:t>
      </w:r>
      <w:r>
        <w:rPr>
          <w:sz w:val="21"/>
        </w:rPr>
        <w:t>50%（</w:t>
      </w:r>
      <w:r>
        <w:rPr>
          <w:spacing w:val="-6"/>
          <w:sz w:val="21"/>
        </w:rPr>
        <w:t>不含</w:t>
      </w:r>
      <w:r>
        <w:rPr>
          <w:spacing w:val="-106"/>
          <w:sz w:val="21"/>
        </w:rPr>
        <w:t>）</w:t>
      </w:r>
      <w:r>
        <w:rPr>
          <w:sz w:val="21"/>
        </w:rPr>
        <w:t>；</w:t>
      </w:r>
    </w:p>
    <w:p>
      <w:pPr>
        <w:pStyle w:val="ListParagraph"/>
        <w:numPr>
          <w:ilvl w:val="0"/>
          <w:numId w:val="16"/>
        </w:numPr>
        <w:tabs>
          <w:tab w:pos="767" w:val="left" w:leader="none"/>
        </w:tabs>
        <w:spacing w:line="278" w:lineRule="auto" w:before="0" w:after="0"/>
        <w:ind w:left="238" w:right="1549" w:firstLine="0"/>
        <w:jc w:val="left"/>
        <w:rPr>
          <w:sz w:val="21"/>
        </w:rPr>
      </w:pPr>
      <w:r>
        <w:rPr>
          <w:spacing w:val="-2"/>
          <w:sz w:val="21"/>
        </w:rPr>
        <w:t>影像学检查证实存在新发的乳头肌功能失调或断裂引起的中度（含）以上的二尖瓣反</w:t>
      </w:r>
      <w:r>
        <w:rPr>
          <w:spacing w:val="-6"/>
          <w:sz w:val="21"/>
        </w:rPr>
        <w:t>流；</w:t>
      </w:r>
    </w:p>
    <w:p>
      <w:pPr>
        <w:spacing w:after="0" w:line="278" w:lineRule="auto"/>
        <w:jc w:val="left"/>
        <w:rPr>
          <w:sz w:val="21"/>
        </w:rPr>
        <w:sectPr>
          <w:type w:val="continuous"/>
          <w:pgSz w:w="11910" w:h="16840"/>
          <w:pgMar w:header="0" w:footer="1005" w:top="240" w:bottom="1200" w:left="1560" w:right="240"/>
        </w:sectPr>
      </w:pPr>
    </w:p>
    <w:p>
      <w:pPr>
        <w:pStyle w:val="ListParagraph"/>
        <w:numPr>
          <w:ilvl w:val="0"/>
          <w:numId w:val="16"/>
        </w:numPr>
        <w:tabs>
          <w:tab w:pos="767" w:val="left" w:leader="none"/>
        </w:tabs>
        <w:spacing w:line="240" w:lineRule="auto" w:before="44" w:after="0"/>
        <w:ind w:left="767" w:right="0" w:hanging="529"/>
        <w:jc w:val="left"/>
        <w:rPr>
          <w:sz w:val="21"/>
        </w:rPr>
      </w:pPr>
      <w:r>
        <w:rPr>
          <w:spacing w:val="-3"/>
          <w:sz w:val="21"/>
        </w:rPr>
        <w:t>影像学检查证实存在新出现的室壁瘤；</w:t>
      </w:r>
    </w:p>
    <w:p>
      <w:pPr>
        <w:pStyle w:val="ListParagraph"/>
        <w:numPr>
          <w:ilvl w:val="0"/>
          <w:numId w:val="16"/>
        </w:numPr>
        <w:tabs>
          <w:tab w:pos="767" w:val="left" w:leader="none"/>
        </w:tabs>
        <w:spacing w:line="240" w:lineRule="auto" w:before="43" w:after="0"/>
        <w:ind w:left="767" w:right="0" w:hanging="529"/>
        <w:jc w:val="left"/>
        <w:rPr>
          <w:sz w:val="21"/>
        </w:rPr>
      </w:pPr>
      <w:r>
        <w:rPr>
          <w:spacing w:val="-3"/>
          <w:sz w:val="21"/>
        </w:rPr>
        <w:t>出现室性心动过速、心室颤动或心源性休克。</w:t>
      </w:r>
    </w:p>
    <w:p>
      <w:pPr>
        <w:pStyle w:val="Heading5"/>
        <w:spacing w:line="278" w:lineRule="auto" w:before="43"/>
        <w:ind w:right="2800"/>
      </w:pPr>
      <w:r>
        <w:rPr>
          <w:spacing w:val="-2"/>
        </w:rPr>
        <w:t>其他非冠状动脉阻塞性疾病所引起的肌钙蛋白（cTn）升高不在保障范围内。</w:t>
      </w:r>
      <w:r>
        <w:rPr>
          <w:spacing w:val="-2"/>
        </w:rPr>
        <w:t>三、严重脑中风后遗症</w:t>
      </w:r>
    </w:p>
    <w:p>
      <w:pPr>
        <w:pStyle w:val="BodyText"/>
        <w:spacing w:line="278" w:lineRule="auto"/>
        <w:ind w:right="1549"/>
        <w:jc w:val="both"/>
      </w:pPr>
      <w:r>
        <w:rPr>
          <w:spacing w:val="-4"/>
        </w:rPr>
        <w:t>指因脑血管的突发病变引起脑血管出血、栓塞或梗塞，须由头颅断层扫描</w:t>
      </w:r>
      <w:r>
        <w:rPr>
          <w:spacing w:val="21"/>
        </w:rPr>
        <w:t>（C</w:t>
      </w:r>
      <w:r>
        <w:rPr>
          <w:spacing w:val="24"/>
        </w:rPr>
        <w:t>T</w:t>
      </w:r>
      <w:r>
        <w:rPr>
          <w:spacing w:val="-82"/>
        </w:rPr>
        <w:t>）</w:t>
      </w:r>
      <w:r>
        <w:rPr>
          <w:spacing w:val="-4"/>
        </w:rPr>
        <w:t>、核磁共振</w:t>
      </w:r>
      <w:r>
        <w:rPr>
          <w:spacing w:val="-2"/>
        </w:rPr>
        <w:t>检查（MRI）等影像学检查证实，并导致神经系统永久性的功能障碍。神经系统永久性的功</w:t>
      </w:r>
      <w:r>
        <w:rPr>
          <w:spacing w:val="-3"/>
        </w:rPr>
        <w:t>能障碍，指疾病确诊 </w:t>
      </w:r>
      <w:r>
        <w:rPr/>
        <w:t>180</w:t>
      </w:r>
      <w:r>
        <w:rPr>
          <w:spacing w:val="-5"/>
        </w:rPr>
        <w:t> 天后，仍遗留下列至少一种障碍：</w:t>
      </w:r>
    </w:p>
    <w:p>
      <w:pPr>
        <w:pStyle w:val="ListParagraph"/>
        <w:numPr>
          <w:ilvl w:val="0"/>
          <w:numId w:val="17"/>
        </w:numPr>
        <w:tabs>
          <w:tab w:pos="767" w:val="left" w:leader="none"/>
        </w:tabs>
        <w:spacing w:line="269" w:lineRule="exact" w:before="0" w:after="0"/>
        <w:ind w:left="767" w:right="0" w:hanging="529"/>
        <w:jc w:val="both"/>
        <w:rPr>
          <w:sz w:val="21"/>
        </w:rPr>
      </w:pPr>
      <w:r>
        <w:rPr>
          <w:spacing w:val="-2"/>
          <w:sz w:val="21"/>
        </w:rPr>
        <w:t>一肢（含）</w:t>
      </w:r>
      <w:r>
        <w:rPr>
          <w:spacing w:val="-9"/>
          <w:sz w:val="21"/>
        </w:rPr>
        <w:t>以上肢体肌力 </w:t>
      </w:r>
      <w:r>
        <w:rPr>
          <w:spacing w:val="-2"/>
          <w:sz w:val="21"/>
        </w:rPr>
        <w:t>2</w:t>
      </w:r>
      <w:r>
        <w:rPr>
          <w:spacing w:val="-26"/>
          <w:sz w:val="21"/>
        </w:rPr>
        <w:t> 级</w:t>
      </w:r>
      <w:r>
        <w:rPr>
          <w:spacing w:val="-2"/>
          <w:sz w:val="21"/>
        </w:rPr>
        <w:t>（含）</w:t>
      </w:r>
      <w:r>
        <w:rPr>
          <w:spacing w:val="-5"/>
          <w:sz w:val="21"/>
        </w:rPr>
        <w:t>以下；</w:t>
      </w:r>
    </w:p>
    <w:p>
      <w:pPr>
        <w:pStyle w:val="ListParagraph"/>
        <w:numPr>
          <w:ilvl w:val="0"/>
          <w:numId w:val="17"/>
        </w:numPr>
        <w:tabs>
          <w:tab w:pos="767" w:val="left" w:leader="none"/>
        </w:tabs>
        <w:spacing w:line="240" w:lineRule="auto" w:before="43" w:after="0"/>
        <w:ind w:left="767" w:right="0" w:hanging="529"/>
        <w:jc w:val="left"/>
        <w:rPr>
          <w:sz w:val="21"/>
        </w:rPr>
      </w:pPr>
      <w:r>
        <w:rPr>
          <w:spacing w:val="-3"/>
          <w:sz w:val="21"/>
        </w:rPr>
        <w:t>语言能力完全丧失，或严重咀嚼吞咽功能障碍；</w:t>
      </w:r>
    </w:p>
    <w:p>
      <w:pPr>
        <w:pStyle w:val="ListParagraph"/>
        <w:numPr>
          <w:ilvl w:val="0"/>
          <w:numId w:val="17"/>
        </w:numPr>
        <w:tabs>
          <w:tab w:pos="767" w:val="left" w:leader="none"/>
        </w:tabs>
        <w:spacing w:line="278" w:lineRule="auto" w:before="43" w:after="0"/>
        <w:ind w:left="238" w:right="1565" w:firstLine="0"/>
        <w:jc w:val="left"/>
        <w:rPr>
          <w:b/>
          <w:sz w:val="21"/>
        </w:rPr>
      </w:pPr>
      <w:r>
        <w:rPr>
          <w:spacing w:val="-2"/>
          <w:sz w:val="21"/>
        </w:rPr>
        <w:t>自主生活能力完全丧失，无法独立完成六项基本日常生活活动中的三项或三项以上。</w:t>
      </w:r>
      <w:r>
        <w:rPr>
          <w:b/>
          <w:spacing w:val="-2"/>
          <w:sz w:val="21"/>
        </w:rPr>
        <w:t>四、重大器官移植术或造血干细胞移植术</w:t>
      </w:r>
    </w:p>
    <w:p>
      <w:pPr>
        <w:pStyle w:val="BodyText"/>
        <w:spacing w:line="278" w:lineRule="auto"/>
        <w:ind w:right="1549"/>
      </w:pPr>
      <w:r>
        <w:rPr>
          <w:spacing w:val="-4"/>
        </w:rPr>
        <w:t>重大器官移植术，指因相应器官功能衰竭，已经实施了肾脏、肝脏、心脏、肺脏或小肠的异</w:t>
      </w:r>
      <w:r>
        <w:rPr>
          <w:spacing w:val="-2"/>
        </w:rPr>
        <w:t>体移植手术。</w:t>
      </w:r>
    </w:p>
    <w:p>
      <w:pPr>
        <w:pStyle w:val="BodyText"/>
        <w:spacing w:line="278" w:lineRule="auto"/>
        <w:ind w:right="1551"/>
      </w:pPr>
      <w:r>
        <w:rPr>
          <w:spacing w:val="-4"/>
        </w:rPr>
        <w:t>造血干细胞移植术，指因造血功能损害或造血系统恶性肿瘤，已经实施了造血干细胞（包括</w:t>
      </w:r>
      <w:r>
        <w:rPr>
          <w:spacing w:val="-2"/>
        </w:rPr>
        <w:t>骨髓造血干细胞、外周血造血干细胞和脐血造血干细胞）的移植手术。</w:t>
      </w:r>
    </w:p>
    <w:p>
      <w:pPr>
        <w:pStyle w:val="Heading5"/>
        <w:spacing w:line="269" w:lineRule="exact"/>
      </w:pPr>
      <w:r>
        <w:rPr>
          <w:spacing w:val="-2"/>
        </w:rPr>
        <w:t>五、冠状动脉搭桥术（或称冠状动脉旁路移植术</w:t>
      </w:r>
      <w:r>
        <w:rPr>
          <w:spacing w:val="-10"/>
        </w:rPr>
        <w:t>）</w:t>
      </w:r>
    </w:p>
    <w:p>
      <w:pPr>
        <w:spacing w:line="278" w:lineRule="auto" w:before="43"/>
        <w:ind w:left="238" w:right="2089" w:firstLine="0"/>
        <w:jc w:val="left"/>
        <w:rPr>
          <w:b/>
          <w:sz w:val="21"/>
        </w:rPr>
      </w:pPr>
      <w:r>
        <w:rPr>
          <w:spacing w:val="-2"/>
          <w:sz w:val="21"/>
        </w:rPr>
        <w:t>指为治疗严重的冠心病，已经实施了切开心包进行的冠状动脉血管旁路移植的手术。</w:t>
      </w:r>
      <w:r>
        <w:rPr>
          <w:b/>
          <w:spacing w:val="-2"/>
          <w:sz w:val="21"/>
        </w:rPr>
        <w:t>所有未切开心包的冠状动脉介入治疗不在保障范围内。</w:t>
      </w:r>
    </w:p>
    <w:p>
      <w:pPr>
        <w:pStyle w:val="Heading5"/>
        <w:spacing w:line="269" w:lineRule="exact"/>
      </w:pPr>
      <w:r>
        <w:rPr>
          <w:spacing w:val="-2"/>
        </w:rPr>
        <w:t>六、严重慢性肾衰竭</w:t>
      </w:r>
    </w:p>
    <w:p>
      <w:pPr>
        <w:pStyle w:val="BodyText"/>
        <w:spacing w:line="278" w:lineRule="auto" w:before="43"/>
        <w:ind w:right="1549"/>
        <w:jc w:val="both"/>
      </w:pPr>
      <w:r>
        <w:rPr>
          <w:spacing w:val="-4"/>
        </w:rPr>
        <w:t>指双肾功能慢性不可逆性衰竭，依据肾脏病预后质量倡议（K/DOQI）制定的指南，分期达到</w:t>
      </w:r>
      <w:r>
        <w:rPr>
          <w:w w:val="95"/>
        </w:rPr>
        <w:t>慢</w:t>
      </w:r>
      <w:r>
        <w:rPr>
          <w:w w:val="95"/>
        </w:rPr>
        <w:t>性</w:t>
      </w:r>
      <w:r>
        <w:rPr>
          <w:w w:val="95"/>
        </w:rPr>
        <w:t>肾</w:t>
      </w:r>
      <w:r>
        <w:rPr>
          <w:w w:val="95"/>
        </w:rPr>
        <w:t>脏</w:t>
      </w:r>
      <w:r>
        <w:rPr>
          <w:w w:val="95"/>
        </w:rPr>
        <w:t>病</w:t>
      </w:r>
      <w:r>
        <w:rPr>
          <w:spacing w:val="40"/>
        </w:rPr>
        <w:t> </w:t>
      </w:r>
      <w:r>
        <w:rPr>
          <w:w w:val="95"/>
        </w:rPr>
        <w:t>5</w:t>
      </w:r>
      <w:r>
        <w:rPr>
          <w:spacing w:val="38"/>
        </w:rPr>
        <w:t> </w:t>
      </w:r>
      <w:r>
        <w:rPr>
          <w:w w:val="95"/>
        </w:rPr>
        <w:t>期，且</w:t>
      </w:r>
      <w:r>
        <w:rPr>
          <w:w w:val="95"/>
        </w:rPr>
        <w:t>经</w:t>
      </w:r>
      <w:r>
        <w:rPr>
          <w:w w:val="95"/>
        </w:rPr>
        <w:t>诊</w:t>
      </w:r>
      <w:r>
        <w:rPr>
          <w:w w:val="95"/>
        </w:rPr>
        <w:t>断</w:t>
      </w:r>
      <w:r>
        <w:rPr>
          <w:w w:val="95"/>
        </w:rPr>
        <w:t>后</w:t>
      </w:r>
      <w:r>
        <w:rPr>
          <w:w w:val="95"/>
        </w:rPr>
        <w:t>已经进行</w:t>
      </w:r>
      <w:r>
        <w:rPr>
          <w:w w:val="95"/>
        </w:rPr>
        <w:t>了</w:t>
      </w:r>
      <w:r>
        <w:rPr>
          <w:w w:val="95"/>
        </w:rPr>
        <w:t>至</w:t>
      </w:r>
      <w:r>
        <w:rPr>
          <w:w w:val="95"/>
        </w:rPr>
        <w:t>少</w:t>
      </w:r>
      <w:r>
        <w:rPr>
          <w:spacing w:val="40"/>
        </w:rPr>
        <w:t> </w:t>
      </w:r>
      <w:r>
        <w:rPr>
          <w:w w:val="95"/>
        </w:rPr>
        <w:t>90</w:t>
      </w:r>
      <w:r>
        <w:rPr>
          <w:spacing w:val="40"/>
        </w:rPr>
        <w:t> </w:t>
      </w:r>
      <w:r>
        <w:rPr>
          <w:w w:val="95"/>
        </w:rPr>
        <w:t>天</w:t>
      </w:r>
      <w:r>
        <w:rPr>
          <w:w w:val="95"/>
        </w:rPr>
        <w:t>的</w:t>
      </w:r>
      <w:r>
        <w:rPr>
          <w:w w:val="95"/>
        </w:rPr>
        <w:t>规</w:t>
      </w:r>
      <w:r>
        <w:rPr>
          <w:w w:val="95"/>
        </w:rPr>
        <w:t>律性透析治疗。规律</w:t>
      </w:r>
      <w:r>
        <w:rPr>
          <w:w w:val="95"/>
        </w:rPr>
        <w:t>性</w:t>
      </w:r>
      <w:r>
        <w:rPr>
          <w:w w:val="95"/>
        </w:rPr>
        <w:t>透</w:t>
      </w:r>
      <w:r>
        <w:rPr>
          <w:w w:val="95"/>
        </w:rPr>
        <w:t>析是指</w:t>
      </w:r>
      <w:r>
        <w:rPr>
          <w:w w:val="95"/>
        </w:rPr>
        <w:t>每</w:t>
      </w:r>
      <w:r>
        <w:rPr>
          <w:spacing w:val="-2"/>
        </w:rPr>
        <w:t>周进行血液透析或每天进行腹膜透析。</w:t>
      </w:r>
    </w:p>
    <w:p>
      <w:pPr>
        <w:pStyle w:val="Heading5"/>
        <w:spacing w:line="269" w:lineRule="exact"/>
      </w:pPr>
      <w:r>
        <w:rPr>
          <w:spacing w:val="-2"/>
        </w:rPr>
        <w:t>七、多个肢体缺失</w:t>
      </w:r>
    </w:p>
    <w:p>
      <w:pPr>
        <w:pStyle w:val="BodyText"/>
        <w:spacing w:line="278" w:lineRule="auto" w:before="43"/>
        <w:ind w:right="1549"/>
      </w:pPr>
      <w:r>
        <w:rPr>
          <w:spacing w:val="-4"/>
        </w:rPr>
        <w:t>指因疾病或意外伤害导致两个或两个以上肢体自腕关节或踝关节近端（靠近躯干端）以上完</w:t>
      </w:r>
      <w:r>
        <w:rPr>
          <w:spacing w:val="-2"/>
        </w:rPr>
        <w:t>全性断离。</w:t>
      </w:r>
    </w:p>
    <w:p>
      <w:pPr>
        <w:pStyle w:val="Heading5"/>
      </w:pPr>
      <w:r>
        <w:rPr>
          <w:spacing w:val="-3"/>
        </w:rPr>
        <w:t>八、急性重症肝炎或亚急性重症肝炎</w:t>
      </w:r>
    </w:p>
    <w:p>
      <w:pPr>
        <w:pStyle w:val="BodyText"/>
        <w:spacing w:line="278" w:lineRule="auto" w:before="43"/>
        <w:ind w:right="1549"/>
      </w:pPr>
      <w:r>
        <w:rPr>
          <w:spacing w:val="-4"/>
        </w:rPr>
        <w:t>指因肝炎病毒感染引起肝脏组织弥漫性坏死，导致急性肝功能衰竭，且经血清学或病毒学检</w:t>
      </w:r>
      <w:r>
        <w:rPr>
          <w:spacing w:val="-2"/>
        </w:rPr>
        <w:t>查证实，并须满足下列全部条件：</w:t>
      </w:r>
    </w:p>
    <w:p>
      <w:pPr>
        <w:pStyle w:val="ListParagraph"/>
        <w:numPr>
          <w:ilvl w:val="0"/>
          <w:numId w:val="18"/>
        </w:numPr>
        <w:tabs>
          <w:tab w:pos="767" w:val="left" w:leader="none"/>
        </w:tabs>
        <w:spacing w:line="269" w:lineRule="exact" w:before="0" w:after="0"/>
        <w:ind w:left="767" w:right="0" w:hanging="529"/>
        <w:jc w:val="left"/>
        <w:rPr>
          <w:sz w:val="21"/>
        </w:rPr>
      </w:pPr>
      <w:r>
        <w:rPr>
          <w:spacing w:val="-3"/>
          <w:sz w:val="21"/>
        </w:rPr>
        <w:t>重度黄疸或黄疸迅速加重；</w:t>
      </w:r>
    </w:p>
    <w:p>
      <w:pPr>
        <w:pStyle w:val="ListParagraph"/>
        <w:numPr>
          <w:ilvl w:val="0"/>
          <w:numId w:val="18"/>
        </w:numPr>
        <w:tabs>
          <w:tab w:pos="767" w:val="left" w:leader="none"/>
        </w:tabs>
        <w:spacing w:line="240" w:lineRule="auto" w:before="43" w:after="0"/>
        <w:ind w:left="767" w:right="0" w:hanging="529"/>
        <w:jc w:val="left"/>
        <w:rPr>
          <w:sz w:val="21"/>
        </w:rPr>
      </w:pPr>
      <w:r>
        <w:rPr>
          <w:spacing w:val="-4"/>
          <w:sz w:val="21"/>
        </w:rPr>
        <w:t>肝性脑病；</w:t>
      </w:r>
    </w:p>
    <w:p>
      <w:pPr>
        <w:pStyle w:val="BodyText"/>
        <w:spacing w:before="43"/>
      </w:pPr>
      <w:r>
        <w:rPr>
          <w:spacing w:val="-2"/>
        </w:rPr>
        <w:t>（3）B</w:t>
      </w:r>
      <w:r>
        <w:rPr>
          <w:spacing w:val="-10"/>
        </w:rPr>
        <w:t> 超或其他影像学检查显示肝脏体积急速萎缩；</w:t>
      </w:r>
    </w:p>
    <w:p>
      <w:pPr>
        <w:spacing w:line="278" w:lineRule="auto" w:before="43"/>
        <w:ind w:left="238" w:right="7029" w:firstLine="0"/>
        <w:jc w:val="left"/>
        <w:rPr>
          <w:b/>
          <w:sz w:val="21"/>
        </w:rPr>
      </w:pPr>
      <w:r>
        <w:rPr>
          <w:spacing w:val="-2"/>
          <w:sz w:val="21"/>
        </w:rPr>
        <w:t>（4）肝功能指标进行性恶化。</w:t>
      </w:r>
      <w:r>
        <w:rPr>
          <w:b/>
          <w:spacing w:val="-2"/>
          <w:sz w:val="21"/>
        </w:rPr>
        <w:t>九、严重非恶性颅内肿瘤</w:t>
      </w:r>
    </w:p>
    <w:p>
      <w:pPr>
        <w:pStyle w:val="BodyText"/>
        <w:spacing w:line="278" w:lineRule="auto"/>
        <w:ind w:right="1460"/>
      </w:pPr>
      <w:r>
        <w:rPr/>
        <w:t>指起源于脑、脑神经、脑被膜的非恶性肿瘤，ICD-O-3</w:t>
      </w:r>
      <w:r>
        <w:rPr>
          <w:spacing w:val="-13"/>
        </w:rPr>
        <w:t> 肿瘤形态学编码属于 </w:t>
      </w:r>
      <w:r>
        <w:rPr/>
        <w:t>0（良性肿瘤</w:t>
      </w:r>
      <w:r>
        <w:rPr>
          <w:spacing w:val="-106"/>
        </w:rPr>
        <w:t>）</w:t>
      </w:r>
      <w:r>
        <w:rPr/>
        <w:t>、 </w:t>
      </w:r>
      <w:r>
        <w:rPr>
          <w:spacing w:val="-2"/>
        </w:rPr>
        <w:t>1（动态未定性肿瘤）范畴，并已经引起颅内压升高或神经系统功能损害，出现视乳头水肿</w:t>
      </w:r>
      <w:r>
        <w:rPr>
          <w:spacing w:val="-2"/>
        </w:rPr>
        <w:t>或视觉受损、听觉受损、面部或肢体瘫痪、癫痫等，须由头颅断层扫描</w:t>
      </w:r>
      <w:r>
        <w:rPr>
          <w:spacing w:val="25"/>
        </w:rPr>
        <w:t>（CT</w:t>
      </w:r>
      <w:r>
        <w:rPr>
          <w:spacing w:val="-83"/>
        </w:rPr>
        <w:t>）</w:t>
      </w:r>
      <w:r>
        <w:rPr>
          <w:spacing w:val="-2"/>
        </w:rPr>
        <w:t>、核磁共振检</w:t>
      </w:r>
      <w:r>
        <w:rPr>
          <w:spacing w:val="-2"/>
        </w:rPr>
        <w:t>查（MRI）或正电子发射断层扫描（PET）等影像学检查证实，且须满足下列至少一项条件：</w:t>
      </w:r>
    </w:p>
    <w:p>
      <w:pPr>
        <w:pStyle w:val="ListParagraph"/>
        <w:numPr>
          <w:ilvl w:val="0"/>
          <w:numId w:val="19"/>
        </w:numPr>
        <w:tabs>
          <w:tab w:pos="767" w:val="left" w:leader="none"/>
        </w:tabs>
        <w:spacing w:line="240" w:lineRule="auto" w:before="0" w:after="0"/>
        <w:ind w:left="767" w:right="0" w:hanging="529"/>
        <w:jc w:val="left"/>
        <w:rPr>
          <w:sz w:val="21"/>
        </w:rPr>
      </w:pPr>
      <w:r>
        <w:rPr>
          <w:spacing w:val="-3"/>
          <w:sz w:val="21"/>
        </w:rPr>
        <w:t>已经实施了开颅进行的颅内肿瘤完全或部分切除手术；</w:t>
      </w:r>
    </w:p>
    <w:p>
      <w:pPr>
        <w:pStyle w:val="ListParagraph"/>
        <w:numPr>
          <w:ilvl w:val="0"/>
          <w:numId w:val="19"/>
        </w:numPr>
        <w:tabs>
          <w:tab w:pos="767" w:val="left" w:leader="none"/>
        </w:tabs>
        <w:spacing w:line="278" w:lineRule="auto" w:before="43" w:after="0"/>
        <w:ind w:left="238" w:right="3049" w:firstLine="0"/>
        <w:jc w:val="left"/>
        <w:rPr>
          <w:b/>
          <w:sz w:val="21"/>
        </w:rPr>
      </w:pPr>
      <w:r>
        <w:rPr>
          <w:spacing w:val="-3"/>
          <w:sz w:val="21"/>
        </w:rPr>
        <w:t>已经实施了针对颅内肿瘤的放射治疗，如 </w:t>
      </w:r>
      <w:r>
        <w:rPr>
          <w:rFonts w:ascii="Calibri" w:hAnsi="Calibri" w:eastAsia="Calibri"/>
          <w:sz w:val="21"/>
        </w:rPr>
        <w:t>γ</w:t>
      </w:r>
      <w:r>
        <w:rPr>
          <w:rFonts w:ascii="Calibri" w:hAnsi="Calibri" w:eastAsia="Calibri"/>
          <w:spacing w:val="-12"/>
          <w:sz w:val="21"/>
        </w:rPr>
        <w:t> </w:t>
      </w:r>
      <w:r>
        <w:rPr>
          <w:sz w:val="21"/>
        </w:rPr>
        <w:t>刀、质子重离子治疗等。</w:t>
      </w:r>
      <w:r>
        <w:rPr>
          <w:b/>
          <w:spacing w:val="-2"/>
          <w:sz w:val="21"/>
        </w:rPr>
        <w:t>下列疾病不在保障范围内：</w:t>
      </w:r>
    </w:p>
    <w:p>
      <w:pPr>
        <w:pStyle w:val="ListParagraph"/>
        <w:numPr>
          <w:ilvl w:val="0"/>
          <w:numId w:val="20"/>
        </w:numPr>
        <w:tabs>
          <w:tab w:pos="767" w:val="left" w:leader="none"/>
        </w:tabs>
        <w:spacing w:line="269" w:lineRule="exact" w:before="0" w:after="0"/>
        <w:ind w:left="767" w:right="0" w:hanging="529"/>
        <w:jc w:val="left"/>
        <w:rPr>
          <w:b/>
          <w:sz w:val="21"/>
        </w:rPr>
      </w:pPr>
      <w:r>
        <w:rPr>
          <w:b/>
          <w:spacing w:val="-2"/>
          <w:sz w:val="21"/>
        </w:rPr>
        <w:t>脑垂体瘤；</w:t>
      </w:r>
    </w:p>
    <w:p>
      <w:pPr>
        <w:pStyle w:val="ListParagraph"/>
        <w:numPr>
          <w:ilvl w:val="0"/>
          <w:numId w:val="20"/>
        </w:numPr>
        <w:tabs>
          <w:tab w:pos="767" w:val="left" w:leader="none"/>
        </w:tabs>
        <w:spacing w:line="240" w:lineRule="auto" w:before="43" w:after="0"/>
        <w:ind w:left="767" w:right="0" w:hanging="529"/>
        <w:jc w:val="left"/>
        <w:rPr>
          <w:b/>
          <w:sz w:val="21"/>
        </w:rPr>
      </w:pPr>
      <w:r>
        <w:rPr>
          <w:b/>
          <w:spacing w:val="-3"/>
          <w:sz w:val="21"/>
        </w:rPr>
        <w:t>脑囊肿；</w:t>
      </w:r>
    </w:p>
    <w:p>
      <w:pPr>
        <w:pStyle w:val="ListParagraph"/>
        <w:numPr>
          <w:ilvl w:val="0"/>
          <w:numId w:val="20"/>
        </w:numPr>
        <w:tabs>
          <w:tab w:pos="767" w:val="left" w:leader="none"/>
        </w:tabs>
        <w:spacing w:line="278" w:lineRule="auto" w:before="43" w:after="0"/>
        <w:ind w:left="238" w:right="1443" w:firstLine="0"/>
        <w:jc w:val="left"/>
        <w:rPr>
          <w:b/>
          <w:sz w:val="21"/>
        </w:rPr>
      </w:pPr>
      <w:r>
        <w:rPr>
          <w:b/>
          <w:spacing w:val="-2"/>
          <w:sz w:val="21"/>
        </w:rPr>
        <w:t>颅内血管性疾病（如脑动脉瘤、脑动静脉畸形、海绵状血管瘤、毛细血管扩张症等</w:t>
      </w:r>
      <w:r>
        <w:rPr>
          <w:b/>
          <w:spacing w:val="-106"/>
          <w:sz w:val="21"/>
        </w:rPr>
        <w:t>）</w:t>
      </w:r>
      <w:r>
        <w:rPr>
          <w:b/>
          <w:spacing w:val="-2"/>
          <w:sz w:val="21"/>
        </w:rPr>
        <w:t>。</w:t>
      </w:r>
      <w:r>
        <w:rPr>
          <w:b/>
          <w:spacing w:val="-2"/>
          <w:sz w:val="21"/>
        </w:rPr>
        <w:t>十、严重慢性肝衰竭</w:t>
      </w:r>
    </w:p>
    <w:p>
      <w:pPr>
        <w:spacing w:after="0" w:line="278" w:lineRule="auto"/>
        <w:jc w:val="left"/>
        <w:rPr>
          <w:sz w:val="21"/>
        </w:rPr>
        <w:sectPr>
          <w:pgSz w:w="11910" w:h="16840"/>
          <w:pgMar w:header="0" w:footer="1005" w:top="1400" w:bottom="1200" w:left="1560" w:right="240"/>
        </w:sectPr>
      </w:pPr>
    </w:p>
    <w:p>
      <w:pPr>
        <w:pStyle w:val="BodyText"/>
        <w:spacing w:before="44"/>
      </w:pPr>
      <w:r>
        <w:rPr>
          <w:spacing w:val="-3"/>
        </w:rPr>
        <w:t>指因慢性肝脏疾病导致的肝衰竭，且须满足下列全部条件：</w:t>
      </w:r>
    </w:p>
    <w:p>
      <w:pPr>
        <w:pStyle w:val="BodyText"/>
        <w:spacing w:before="43"/>
      </w:pPr>
      <w:r>
        <w:rPr>
          <w:spacing w:val="-2"/>
        </w:rPr>
        <w:t>（1）</w:t>
      </w:r>
      <w:r>
        <w:rPr>
          <w:spacing w:val="-4"/>
        </w:rPr>
        <w:t>持续性黄疸；</w:t>
      </w:r>
    </w:p>
    <w:p>
      <w:pPr>
        <w:pStyle w:val="BodyText"/>
        <w:spacing w:before="43"/>
      </w:pPr>
      <w:r>
        <w:rPr>
          <w:spacing w:val="-2"/>
        </w:rPr>
        <w:t>（2）</w:t>
      </w:r>
      <w:r>
        <w:rPr>
          <w:spacing w:val="-5"/>
        </w:rPr>
        <w:t>腹水；</w:t>
      </w:r>
    </w:p>
    <w:p>
      <w:pPr>
        <w:pStyle w:val="ListParagraph"/>
        <w:numPr>
          <w:ilvl w:val="0"/>
          <w:numId w:val="21"/>
        </w:numPr>
        <w:tabs>
          <w:tab w:pos="767" w:val="left" w:leader="none"/>
        </w:tabs>
        <w:spacing w:line="240" w:lineRule="auto" w:before="43" w:after="0"/>
        <w:ind w:left="767" w:right="0" w:hanging="529"/>
        <w:jc w:val="left"/>
        <w:rPr>
          <w:sz w:val="21"/>
        </w:rPr>
      </w:pPr>
      <w:r>
        <w:rPr>
          <w:spacing w:val="-4"/>
          <w:sz w:val="21"/>
        </w:rPr>
        <w:t>肝性脑病；</w:t>
      </w:r>
    </w:p>
    <w:p>
      <w:pPr>
        <w:pStyle w:val="ListParagraph"/>
        <w:numPr>
          <w:ilvl w:val="0"/>
          <w:numId w:val="21"/>
        </w:numPr>
        <w:tabs>
          <w:tab w:pos="767" w:val="left" w:leader="none"/>
        </w:tabs>
        <w:spacing w:line="278" w:lineRule="auto" w:before="43" w:after="0"/>
        <w:ind w:left="238" w:right="4717" w:firstLine="0"/>
        <w:jc w:val="left"/>
        <w:rPr>
          <w:b/>
          <w:sz w:val="21"/>
        </w:rPr>
      </w:pPr>
      <w:r>
        <w:rPr>
          <w:spacing w:val="-2"/>
          <w:sz w:val="21"/>
        </w:rPr>
        <w:t>充血性脾肿大伴脾功能亢进或食管胃底静脉曲张。</w:t>
      </w:r>
      <w:r>
        <w:rPr>
          <w:b/>
          <w:spacing w:val="-2"/>
          <w:sz w:val="21"/>
        </w:rPr>
        <w:t>因酗酒或药物滥用导致的肝衰竭不在保障范围内。</w:t>
      </w:r>
    </w:p>
    <w:p>
      <w:pPr>
        <w:pStyle w:val="Heading5"/>
        <w:spacing w:line="269" w:lineRule="exact"/>
      </w:pPr>
      <w:r>
        <w:rPr>
          <w:spacing w:val="-3"/>
        </w:rPr>
        <w:t>十一、严重脑炎后遗症或严重脑膜炎后遗症</w:t>
      </w:r>
    </w:p>
    <w:p>
      <w:pPr>
        <w:pStyle w:val="BodyText"/>
        <w:spacing w:line="278" w:lineRule="auto" w:before="43"/>
        <w:ind w:right="1549"/>
      </w:pPr>
      <w:r>
        <w:rPr>
          <w:spacing w:val="-4"/>
        </w:rPr>
        <w:t>指因患脑炎或脑膜炎导致的神经系统永久性的功能障碍。神经系统永久性的功能障碍，指经</w:t>
      </w:r>
      <w:r>
        <w:rPr>
          <w:spacing w:val="-2"/>
        </w:rPr>
        <w:t>相关专科医生确诊疾病 </w:t>
      </w:r>
      <w:r>
        <w:rPr/>
        <w:t>180</w:t>
      </w:r>
      <w:r>
        <w:rPr>
          <w:spacing w:val="-5"/>
        </w:rPr>
        <w:t> 天后，仍遗留下列至少一种障碍：</w:t>
      </w:r>
    </w:p>
    <w:p>
      <w:pPr>
        <w:pStyle w:val="ListParagraph"/>
        <w:numPr>
          <w:ilvl w:val="0"/>
          <w:numId w:val="22"/>
        </w:numPr>
        <w:tabs>
          <w:tab w:pos="767" w:val="left" w:leader="none"/>
        </w:tabs>
        <w:spacing w:line="269" w:lineRule="exact" w:before="0" w:after="0"/>
        <w:ind w:left="767" w:right="0" w:hanging="529"/>
        <w:jc w:val="left"/>
        <w:rPr>
          <w:sz w:val="21"/>
        </w:rPr>
      </w:pPr>
      <w:r>
        <w:rPr>
          <w:spacing w:val="-2"/>
          <w:sz w:val="21"/>
        </w:rPr>
        <w:t>一肢（含）</w:t>
      </w:r>
      <w:r>
        <w:rPr>
          <w:spacing w:val="-9"/>
          <w:sz w:val="21"/>
        </w:rPr>
        <w:t>以上肢体肌力 </w:t>
      </w:r>
      <w:r>
        <w:rPr>
          <w:spacing w:val="-2"/>
          <w:sz w:val="21"/>
        </w:rPr>
        <w:t>2</w:t>
      </w:r>
      <w:r>
        <w:rPr>
          <w:spacing w:val="-26"/>
          <w:sz w:val="21"/>
        </w:rPr>
        <w:t> 级</w:t>
      </w:r>
      <w:r>
        <w:rPr>
          <w:spacing w:val="-2"/>
          <w:sz w:val="21"/>
        </w:rPr>
        <w:t>（含）</w:t>
      </w:r>
      <w:r>
        <w:rPr>
          <w:spacing w:val="-5"/>
          <w:sz w:val="21"/>
        </w:rPr>
        <w:t>以下；</w:t>
      </w:r>
    </w:p>
    <w:p>
      <w:pPr>
        <w:pStyle w:val="ListParagraph"/>
        <w:numPr>
          <w:ilvl w:val="0"/>
          <w:numId w:val="22"/>
        </w:numPr>
        <w:tabs>
          <w:tab w:pos="767" w:val="left" w:leader="none"/>
        </w:tabs>
        <w:spacing w:line="240" w:lineRule="auto" w:before="43" w:after="0"/>
        <w:ind w:left="767" w:right="0" w:hanging="529"/>
        <w:jc w:val="left"/>
        <w:rPr>
          <w:sz w:val="21"/>
        </w:rPr>
      </w:pPr>
      <w:r>
        <w:rPr>
          <w:spacing w:val="-3"/>
          <w:sz w:val="21"/>
        </w:rPr>
        <w:t>语言能力完全丧失，或严重咀嚼吞咽功能障碍；</w:t>
      </w:r>
    </w:p>
    <w:p>
      <w:pPr>
        <w:pStyle w:val="ListParagraph"/>
        <w:numPr>
          <w:ilvl w:val="0"/>
          <w:numId w:val="22"/>
        </w:numPr>
        <w:tabs>
          <w:tab w:pos="767" w:val="left" w:leader="none"/>
        </w:tabs>
        <w:spacing w:line="278" w:lineRule="auto" w:before="43" w:after="0"/>
        <w:ind w:left="238" w:right="1443" w:firstLine="0"/>
        <w:jc w:val="left"/>
        <w:rPr>
          <w:sz w:val="21"/>
        </w:rPr>
      </w:pPr>
      <w:r>
        <w:rPr>
          <w:sz w:val="21"/>
        </w:rPr>
        <w:t>由具有评估资格的专科医生根据临床痴呆评定量表（CDR，Clinical</w:t>
      </w:r>
      <w:r>
        <w:rPr>
          <w:spacing w:val="-42"/>
          <w:sz w:val="21"/>
        </w:rPr>
        <w:t> </w:t>
      </w:r>
      <w:r>
        <w:rPr>
          <w:sz w:val="21"/>
        </w:rPr>
        <w:t>Dementia Rating）</w:t>
      </w:r>
      <w:r>
        <w:rPr>
          <w:spacing w:val="-4"/>
          <w:sz w:val="21"/>
        </w:rPr>
        <w:t>评估结果为 </w:t>
      </w:r>
      <w:r>
        <w:rPr>
          <w:sz w:val="21"/>
        </w:rPr>
        <w:t>3</w:t>
      </w:r>
      <w:r>
        <w:rPr>
          <w:spacing w:val="-8"/>
          <w:sz w:val="21"/>
        </w:rPr>
        <w:t> 分；</w:t>
      </w:r>
    </w:p>
    <w:p>
      <w:pPr>
        <w:pStyle w:val="ListParagraph"/>
        <w:numPr>
          <w:ilvl w:val="0"/>
          <w:numId w:val="22"/>
        </w:numPr>
        <w:tabs>
          <w:tab w:pos="767" w:val="left" w:leader="none"/>
        </w:tabs>
        <w:spacing w:line="278" w:lineRule="auto" w:before="0" w:after="0"/>
        <w:ind w:left="238" w:right="1565" w:firstLine="0"/>
        <w:jc w:val="left"/>
        <w:rPr>
          <w:b/>
          <w:sz w:val="21"/>
        </w:rPr>
      </w:pPr>
      <w:r>
        <w:rPr>
          <w:spacing w:val="-2"/>
          <w:sz w:val="21"/>
        </w:rPr>
        <w:t>自主生活能力完全丧失，无法独立完成六项基本日常生活活动中的三项或三项以上。</w:t>
      </w:r>
      <w:r>
        <w:rPr>
          <w:b/>
          <w:spacing w:val="-2"/>
          <w:sz w:val="21"/>
        </w:rPr>
        <w:t>十二、深度昏迷</w:t>
      </w:r>
    </w:p>
    <w:p>
      <w:pPr>
        <w:pStyle w:val="BodyText"/>
        <w:spacing w:line="278" w:lineRule="auto"/>
        <w:ind w:right="1549"/>
        <w:jc w:val="both"/>
      </w:pPr>
      <w:r>
        <w:rPr>
          <w:spacing w:val="-4"/>
        </w:rPr>
        <w:t>指因疾病或意外伤害导致意识丧失，对外界刺激和体内需求均无反应，昏迷程度按照格拉斯</w:t>
      </w:r>
      <w:r>
        <w:rPr>
          <w:spacing w:val="-2"/>
        </w:rPr>
        <w:t>哥昏迷分级（GCS，Glasgow</w:t>
      </w:r>
      <w:r>
        <w:rPr>
          <w:spacing w:val="-25"/>
        </w:rPr>
        <w:t> </w:t>
      </w:r>
      <w:r>
        <w:rPr>
          <w:spacing w:val="-2"/>
        </w:rPr>
        <w:t>Coma</w:t>
      </w:r>
      <w:r>
        <w:rPr>
          <w:spacing w:val="-5"/>
        </w:rPr>
        <w:t> </w:t>
      </w:r>
      <w:r>
        <w:rPr>
          <w:spacing w:val="-2"/>
        </w:rPr>
        <w:t>Scale）</w:t>
      </w:r>
      <w:r>
        <w:rPr>
          <w:spacing w:val="-8"/>
        </w:rPr>
        <w:t>结果为 </w:t>
      </w:r>
      <w:r>
        <w:rPr>
          <w:spacing w:val="-2"/>
        </w:rPr>
        <w:t>5</w:t>
      </w:r>
      <w:r>
        <w:rPr>
          <w:spacing w:val="-14"/>
        </w:rPr>
        <w:t> 分或 </w:t>
      </w:r>
      <w:r>
        <w:rPr>
          <w:spacing w:val="-2"/>
        </w:rPr>
        <w:t>5</w:t>
      </w:r>
      <w:r>
        <w:rPr>
          <w:spacing w:val="-7"/>
        </w:rPr>
        <w:t> 分以下，且已经持续使用呼吸机</w:t>
      </w:r>
      <w:r>
        <w:rPr>
          <w:spacing w:val="-3"/>
        </w:rPr>
        <w:t>及其他生命维持系统 </w:t>
      </w:r>
      <w:r>
        <w:rPr/>
        <w:t>96</w:t>
      </w:r>
      <w:r>
        <w:rPr>
          <w:spacing w:val="-5"/>
        </w:rPr>
        <w:t> 小时以上。</w:t>
      </w:r>
    </w:p>
    <w:p>
      <w:pPr>
        <w:pStyle w:val="Heading5"/>
        <w:spacing w:line="278" w:lineRule="auto"/>
        <w:ind w:right="5018"/>
      </w:pPr>
      <w:r>
        <w:rPr>
          <w:spacing w:val="-2"/>
        </w:rPr>
        <w:t>因酗酒或药物滥用导致的深度昏迷不在保障范围内。</w:t>
      </w:r>
      <w:r>
        <w:rPr>
          <w:spacing w:val="-2"/>
        </w:rPr>
        <w:t>十三、双耳失聪</w:t>
      </w:r>
    </w:p>
    <w:p>
      <w:pPr>
        <w:pStyle w:val="BodyText"/>
        <w:spacing w:line="269" w:lineRule="exact"/>
      </w:pPr>
      <w:r>
        <w:rPr>
          <w:spacing w:val="-6"/>
        </w:rPr>
        <w:t>指因疾病或意外伤害导致双耳听力永久不可逆性丧失，在 </w:t>
      </w:r>
      <w:r>
        <w:rPr>
          <w:spacing w:val="-4"/>
        </w:rPr>
        <w:t>500</w:t>
      </w:r>
      <w:r>
        <w:rPr>
          <w:spacing w:val="-13"/>
        </w:rPr>
        <w:t> 赫兹、</w:t>
      </w:r>
      <w:r>
        <w:rPr>
          <w:spacing w:val="-4"/>
        </w:rPr>
        <w:t>1000</w:t>
      </w:r>
      <w:r>
        <w:rPr>
          <w:spacing w:val="-18"/>
        </w:rPr>
        <w:t> 赫兹和 </w:t>
      </w:r>
      <w:r>
        <w:rPr>
          <w:spacing w:val="-4"/>
        </w:rPr>
        <w:t>2000</w:t>
      </w:r>
      <w:r>
        <w:rPr>
          <w:spacing w:val="-18"/>
        </w:rPr>
        <w:t> 赫兹</w:t>
      </w:r>
    </w:p>
    <w:p>
      <w:pPr>
        <w:pStyle w:val="BodyText"/>
        <w:spacing w:line="278" w:lineRule="auto" w:before="43"/>
        <w:ind w:right="1548"/>
      </w:pPr>
      <w:r>
        <w:rPr>
          <w:spacing w:val="-3"/>
        </w:rPr>
        <w:t>语音频率下，平均听阈大于等于 </w:t>
      </w:r>
      <w:r>
        <w:rPr/>
        <w:t>91</w:t>
      </w:r>
      <w:r>
        <w:rPr>
          <w:spacing w:val="-7"/>
        </w:rPr>
        <w:t> 分贝，且经纯音听力测试、声导抗检测或听觉诱发电位</w:t>
      </w:r>
      <w:r>
        <w:rPr>
          <w:spacing w:val="-2"/>
        </w:rPr>
        <w:t>检测等证实。</w:t>
      </w:r>
    </w:p>
    <w:p>
      <w:pPr>
        <w:pStyle w:val="Heading5"/>
        <w:spacing w:line="278" w:lineRule="auto"/>
        <w:ind w:right="1640"/>
      </w:pPr>
      <w:r>
        <w:rPr>
          <w:spacing w:val="-4"/>
        </w:rPr>
        <w:t>被保险人申请理赔时年龄必须在 </w:t>
      </w:r>
      <w:r>
        <w:rPr/>
        <w:t>3</w:t>
      </w:r>
      <w:r>
        <w:rPr>
          <w:spacing w:val="-8"/>
        </w:rPr>
        <w:t> 周岁以上，并且提供理赔当时的听力丧失诊断及检查证</w:t>
      </w:r>
      <w:r>
        <w:rPr>
          <w:spacing w:val="-6"/>
        </w:rPr>
        <w:t>据。</w:t>
      </w:r>
    </w:p>
    <w:p>
      <w:pPr>
        <w:spacing w:before="0"/>
        <w:ind w:left="238" w:right="0" w:firstLine="0"/>
        <w:jc w:val="left"/>
        <w:rPr>
          <w:b/>
          <w:sz w:val="21"/>
        </w:rPr>
      </w:pPr>
      <w:r>
        <w:rPr>
          <w:b/>
          <w:spacing w:val="-2"/>
          <w:sz w:val="21"/>
        </w:rPr>
        <w:t>十四、双目失明</w:t>
      </w:r>
    </w:p>
    <w:p>
      <w:pPr>
        <w:pStyle w:val="BodyText"/>
        <w:spacing w:line="278" w:lineRule="auto" w:before="43"/>
        <w:ind w:right="1548"/>
      </w:pPr>
      <w:r>
        <w:rPr>
          <w:spacing w:val="-6"/>
        </w:rPr>
        <w:t>指因疾病或意外伤害导致双眼视力永久不可逆性丧失，双眼中较好眼须满足下列至少一项条</w:t>
      </w:r>
      <w:r>
        <w:rPr>
          <w:spacing w:val="-6"/>
        </w:rPr>
        <w:t>件：</w:t>
      </w:r>
    </w:p>
    <w:p>
      <w:pPr>
        <w:pStyle w:val="ListParagraph"/>
        <w:numPr>
          <w:ilvl w:val="0"/>
          <w:numId w:val="23"/>
        </w:numPr>
        <w:tabs>
          <w:tab w:pos="767" w:val="left" w:leader="none"/>
        </w:tabs>
        <w:spacing w:line="269" w:lineRule="exact" w:before="0" w:after="0"/>
        <w:ind w:left="767" w:right="0" w:hanging="529"/>
        <w:jc w:val="left"/>
        <w:rPr>
          <w:sz w:val="21"/>
        </w:rPr>
      </w:pPr>
      <w:r>
        <w:rPr>
          <w:spacing w:val="-4"/>
          <w:sz w:val="21"/>
        </w:rPr>
        <w:t>眼球缺失或摘除；</w:t>
      </w:r>
    </w:p>
    <w:p>
      <w:pPr>
        <w:pStyle w:val="ListParagraph"/>
        <w:numPr>
          <w:ilvl w:val="0"/>
          <w:numId w:val="23"/>
        </w:numPr>
        <w:tabs>
          <w:tab w:pos="767" w:val="left" w:leader="none"/>
        </w:tabs>
        <w:spacing w:line="240" w:lineRule="auto" w:before="43" w:after="0"/>
        <w:ind w:left="767" w:right="0" w:hanging="529"/>
        <w:jc w:val="left"/>
        <w:rPr>
          <w:sz w:val="21"/>
        </w:rPr>
      </w:pPr>
      <w:r>
        <w:rPr>
          <w:spacing w:val="-6"/>
          <w:sz w:val="21"/>
        </w:rPr>
        <w:t>矫正视力低于 </w:t>
      </w:r>
      <w:r>
        <w:rPr>
          <w:spacing w:val="-2"/>
          <w:sz w:val="21"/>
        </w:rPr>
        <w:t>0.02（采用国际标准视力表，如果使用其他视力表应进行换算</w:t>
      </w:r>
      <w:r>
        <w:rPr>
          <w:spacing w:val="-111"/>
          <w:sz w:val="21"/>
        </w:rPr>
        <w:t>）</w:t>
      </w:r>
      <w:r>
        <w:rPr>
          <w:spacing w:val="-5"/>
          <w:sz w:val="21"/>
        </w:rPr>
        <w:t>；</w:t>
      </w:r>
    </w:p>
    <w:p>
      <w:pPr>
        <w:pStyle w:val="ListParagraph"/>
        <w:numPr>
          <w:ilvl w:val="0"/>
          <w:numId w:val="23"/>
        </w:numPr>
        <w:tabs>
          <w:tab w:pos="767" w:val="left" w:leader="none"/>
        </w:tabs>
        <w:spacing w:line="240" w:lineRule="auto" w:before="43" w:after="0"/>
        <w:ind w:left="767" w:right="0" w:hanging="529"/>
        <w:jc w:val="left"/>
        <w:rPr>
          <w:sz w:val="21"/>
        </w:rPr>
      </w:pPr>
      <w:r>
        <w:rPr>
          <w:spacing w:val="-10"/>
          <w:sz w:val="21"/>
        </w:rPr>
        <w:t>视野半径小于 </w:t>
      </w:r>
      <w:r>
        <w:rPr>
          <w:spacing w:val="-2"/>
          <w:sz w:val="21"/>
        </w:rPr>
        <w:t>5</w:t>
      </w:r>
      <w:r>
        <w:rPr>
          <w:spacing w:val="-21"/>
          <w:sz w:val="21"/>
        </w:rPr>
        <w:t> 度。</w:t>
      </w:r>
    </w:p>
    <w:p>
      <w:pPr>
        <w:pStyle w:val="Heading5"/>
        <w:spacing w:line="278" w:lineRule="auto" w:before="43"/>
        <w:ind w:right="1640"/>
      </w:pPr>
      <w:r>
        <w:rPr>
          <w:spacing w:val="-4"/>
        </w:rPr>
        <w:t>被保险人申请理赔时年龄必须在 </w:t>
      </w:r>
      <w:r>
        <w:rPr/>
        <w:t>3</w:t>
      </w:r>
      <w:r>
        <w:rPr>
          <w:spacing w:val="-8"/>
        </w:rPr>
        <w:t> 周岁以上，并且提供理赔当时的视力丧失诊断及检查证</w:t>
      </w:r>
      <w:r>
        <w:rPr>
          <w:spacing w:val="-6"/>
        </w:rPr>
        <w:t>据。</w:t>
      </w:r>
    </w:p>
    <w:p>
      <w:pPr>
        <w:spacing w:line="269" w:lineRule="exact" w:before="0"/>
        <w:ind w:left="238" w:right="0" w:firstLine="0"/>
        <w:jc w:val="left"/>
        <w:rPr>
          <w:b/>
          <w:sz w:val="21"/>
        </w:rPr>
      </w:pPr>
      <w:r>
        <w:rPr>
          <w:b/>
          <w:spacing w:val="-2"/>
          <w:sz w:val="21"/>
        </w:rPr>
        <w:t>十五、瘫痪</w:t>
      </w:r>
    </w:p>
    <w:p>
      <w:pPr>
        <w:pStyle w:val="BodyText"/>
        <w:spacing w:line="278" w:lineRule="auto" w:before="42"/>
        <w:ind w:right="1548"/>
      </w:pPr>
      <w:r>
        <w:rPr>
          <w:spacing w:val="-5"/>
        </w:rPr>
        <w:t>指因疾病或意外伤害导致两肢或两肢以上肢体随意运动功能永久完全丧失。肢体随意运动功</w:t>
      </w:r>
      <w:r>
        <w:rPr>
          <w:spacing w:val="-8"/>
        </w:rPr>
        <w:t>能永久完全丧失，指疾病确诊 </w:t>
      </w:r>
      <w:r>
        <w:rPr>
          <w:spacing w:val="-4"/>
        </w:rPr>
        <w:t>180</w:t>
      </w:r>
      <w:r>
        <w:rPr>
          <w:spacing w:val="-15"/>
        </w:rPr>
        <w:t> 天后或意外伤害发生 </w:t>
      </w:r>
      <w:r>
        <w:rPr>
          <w:spacing w:val="-4"/>
        </w:rPr>
        <w:t>180</w:t>
      </w:r>
      <w:r>
        <w:rPr>
          <w:spacing w:val="-11"/>
        </w:rPr>
        <w:t> 天后，每肢三大关节中的两大关</w:t>
      </w:r>
    </w:p>
    <w:p>
      <w:pPr>
        <w:spacing w:line="278" w:lineRule="auto" w:before="0"/>
        <w:ind w:left="238" w:right="5240" w:firstLine="0"/>
        <w:jc w:val="left"/>
        <w:rPr>
          <w:b/>
          <w:sz w:val="21"/>
        </w:rPr>
      </w:pPr>
      <w:r>
        <w:rPr>
          <w:spacing w:val="-4"/>
          <w:sz w:val="21"/>
        </w:rPr>
        <w:t>节仍然完全僵硬，或肢体肌力在 </w:t>
      </w:r>
      <w:r>
        <w:rPr>
          <w:sz w:val="21"/>
        </w:rPr>
        <w:t>2</w:t>
      </w:r>
      <w:r>
        <w:rPr>
          <w:spacing w:val="-27"/>
          <w:sz w:val="21"/>
        </w:rPr>
        <w:t> 级</w:t>
      </w:r>
      <w:r>
        <w:rPr>
          <w:sz w:val="21"/>
        </w:rPr>
        <w:t>（含）以下。</w:t>
      </w:r>
      <w:r>
        <w:rPr>
          <w:b/>
          <w:spacing w:val="-2"/>
          <w:sz w:val="21"/>
        </w:rPr>
        <w:t>十六、心脏瓣膜手术</w:t>
      </w:r>
    </w:p>
    <w:p>
      <w:pPr>
        <w:spacing w:line="278" w:lineRule="auto" w:before="1"/>
        <w:ind w:left="238" w:right="2297" w:firstLine="0"/>
        <w:jc w:val="left"/>
        <w:rPr>
          <w:b/>
          <w:sz w:val="21"/>
        </w:rPr>
      </w:pPr>
      <w:r>
        <w:rPr>
          <w:spacing w:val="-2"/>
          <w:sz w:val="21"/>
        </w:rPr>
        <w:t>指为治疗心脏瓣膜疾病，已经实施了切开心脏进行的心脏瓣膜置换或修复的手术。</w:t>
      </w:r>
      <w:r>
        <w:rPr>
          <w:b/>
          <w:spacing w:val="-2"/>
          <w:sz w:val="21"/>
        </w:rPr>
        <w:t>所有未切开心脏的心脏瓣膜介入手术不在保障范围内。</w:t>
      </w:r>
    </w:p>
    <w:p>
      <w:pPr>
        <w:pStyle w:val="Heading5"/>
        <w:spacing w:line="269" w:lineRule="exact"/>
      </w:pPr>
      <w:r>
        <w:rPr>
          <w:spacing w:val="-3"/>
        </w:rPr>
        <w:t>十七、严重阿尔茨海默病</w:t>
      </w:r>
    </w:p>
    <w:p>
      <w:pPr>
        <w:pStyle w:val="BodyText"/>
        <w:spacing w:line="278" w:lineRule="auto" w:before="43"/>
        <w:ind w:right="1443"/>
      </w:pPr>
      <w:r>
        <w:rPr>
          <w:spacing w:val="-16"/>
        </w:rPr>
        <w:t>指因大脑进行性、不可逆性改变导致智能严重衰退或丧失，临床表现为严重的认知功能障碍、</w:t>
      </w:r>
      <w:r>
        <w:rPr>
          <w:spacing w:val="-2"/>
        </w:rPr>
        <w:t>精神行为异常和社交能力减退等，其日常生活必须持续受到他人监护。须由头颅断层扫描</w:t>
      </w:r>
    </w:p>
    <w:p>
      <w:pPr>
        <w:pStyle w:val="BodyText"/>
        <w:spacing w:line="269" w:lineRule="exact"/>
      </w:pPr>
      <w:r>
        <w:rPr>
          <w:spacing w:val="21"/>
        </w:rPr>
        <w:t>（</w:t>
      </w:r>
      <w:r>
        <w:rPr>
          <w:spacing w:val="22"/>
        </w:rPr>
        <w:t>CT</w:t>
      </w:r>
      <w:r>
        <w:rPr>
          <w:spacing w:val="-84"/>
        </w:rPr>
        <w:t>）</w:t>
      </w:r>
      <w:r>
        <w:rPr>
          <w:spacing w:val="-4"/>
        </w:rPr>
        <w:t>、核磁共振检查（MRI）或正电子发射断层扫描（PET）</w:t>
      </w:r>
      <w:r>
        <w:rPr>
          <w:spacing w:val="-5"/>
        </w:rPr>
        <w:t>等影像学检查证实，并经相关</w:t>
      </w:r>
    </w:p>
    <w:p>
      <w:pPr>
        <w:spacing w:after="0" w:line="269" w:lineRule="exact"/>
        <w:sectPr>
          <w:pgSz w:w="11910" w:h="16840"/>
          <w:pgMar w:header="0" w:footer="1005" w:top="1400" w:bottom="1200" w:left="1560" w:right="240"/>
        </w:sectPr>
      </w:pPr>
    </w:p>
    <w:p>
      <w:pPr>
        <w:pStyle w:val="BodyText"/>
        <w:spacing w:before="44"/>
      </w:pPr>
      <w:r>
        <w:rPr>
          <w:spacing w:val="-3"/>
        </w:rPr>
        <w:t>专科医生确诊，且须满足下列至少一项条件：</w:t>
      </w:r>
    </w:p>
    <w:p>
      <w:pPr>
        <w:pStyle w:val="ListParagraph"/>
        <w:numPr>
          <w:ilvl w:val="0"/>
          <w:numId w:val="24"/>
        </w:numPr>
        <w:tabs>
          <w:tab w:pos="767" w:val="left" w:leader="none"/>
        </w:tabs>
        <w:spacing w:line="278" w:lineRule="auto" w:before="43" w:after="0"/>
        <w:ind w:left="238" w:right="1443" w:firstLine="0"/>
        <w:jc w:val="left"/>
        <w:rPr>
          <w:sz w:val="21"/>
        </w:rPr>
      </w:pPr>
      <w:r>
        <w:rPr>
          <w:sz w:val="21"/>
        </w:rPr>
        <w:t>由具有评估资格的专科医生根据临床痴呆评定量表（CDR，Clinical</w:t>
      </w:r>
      <w:r>
        <w:rPr>
          <w:spacing w:val="-42"/>
          <w:sz w:val="21"/>
        </w:rPr>
        <w:t> </w:t>
      </w:r>
      <w:r>
        <w:rPr>
          <w:sz w:val="21"/>
        </w:rPr>
        <w:t>Dementia Rating）</w:t>
      </w:r>
      <w:r>
        <w:rPr>
          <w:spacing w:val="-4"/>
          <w:sz w:val="21"/>
        </w:rPr>
        <w:t>评估结果为 </w:t>
      </w:r>
      <w:r>
        <w:rPr>
          <w:sz w:val="21"/>
        </w:rPr>
        <w:t>3</w:t>
      </w:r>
      <w:r>
        <w:rPr>
          <w:spacing w:val="-8"/>
          <w:sz w:val="21"/>
        </w:rPr>
        <w:t> 分；</w:t>
      </w:r>
    </w:p>
    <w:p>
      <w:pPr>
        <w:pStyle w:val="ListParagraph"/>
        <w:numPr>
          <w:ilvl w:val="0"/>
          <w:numId w:val="24"/>
        </w:numPr>
        <w:tabs>
          <w:tab w:pos="767" w:val="left" w:leader="none"/>
        </w:tabs>
        <w:spacing w:line="278" w:lineRule="auto" w:before="0" w:after="0"/>
        <w:ind w:left="238" w:right="1566" w:firstLine="0"/>
        <w:jc w:val="left"/>
        <w:rPr>
          <w:b/>
          <w:sz w:val="21"/>
        </w:rPr>
      </w:pPr>
      <w:r>
        <w:rPr>
          <w:spacing w:val="-2"/>
          <w:sz w:val="21"/>
        </w:rPr>
        <w:t>自主生活能力完全丧失，无法独立完成六项基本日常生活活动中的三项或三项以上。</w:t>
      </w:r>
      <w:r>
        <w:rPr>
          <w:b/>
          <w:spacing w:val="-2"/>
          <w:sz w:val="21"/>
        </w:rPr>
        <w:t>阿尔茨海默病之外的其他类型痴呆不在保障范围内。</w:t>
      </w:r>
    </w:p>
    <w:p>
      <w:pPr>
        <w:pStyle w:val="Heading5"/>
        <w:spacing w:line="269" w:lineRule="exact"/>
      </w:pPr>
      <w:r>
        <w:rPr>
          <w:spacing w:val="-2"/>
        </w:rPr>
        <w:t>十八、严重脑损伤</w:t>
      </w:r>
    </w:p>
    <w:p>
      <w:pPr>
        <w:pStyle w:val="BodyText"/>
        <w:spacing w:line="278" w:lineRule="auto" w:before="43"/>
        <w:ind w:right="1445"/>
      </w:pPr>
      <w:r>
        <w:rPr>
          <w:spacing w:val="-2"/>
        </w:rPr>
        <w:t>指因头部遭受机械性外力，引起脑重要部位损伤，导致神经系统永久性的功能障碍。须由头</w:t>
      </w:r>
      <w:r>
        <w:rPr>
          <w:spacing w:val="-6"/>
        </w:rPr>
        <w:t>颅断层扫描</w:t>
      </w:r>
      <w:r>
        <w:rPr>
          <w:spacing w:val="20"/>
        </w:rPr>
        <w:t>（</w:t>
      </w:r>
      <w:r>
        <w:rPr>
          <w:spacing w:val="18"/>
        </w:rPr>
        <w:t>C</w:t>
      </w:r>
      <w:r>
        <w:rPr>
          <w:spacing w:val="21"/>
        </w:rPr>
        <w:t>T</w:t>
      </w:r>
      <w:r>
        <w:rPr>
          <w:spacing w:val="-85"/>
        </w:rPr>
        <w:t>）</w:t>
      </w:r>
      <w:r>
        <w:rPr>
          <w:spacing w:val="-6"/>
        </w:rPr>
        <w:t>、核磁共振检查（MRI）或正电子发射断层扫描（PET）等影像学检查证实。</w:t>
      </w:r>
      <w:r>
        <w:rPr>
          <w:spacing w:val="-2"/>
        </w:rPr>
        <w:t>神经系统永久性的功能障碍，指脑损伤 </w:t>
      </w:r>
      <w:r>
        <w:rPr/>
        <w:t>180</w:t>
      </w:r>
      <w:r>
        <w:rPr>
          <w:spacing w:val="-5"/>
        </w:rPr>
        <w:t> 天后，仍遗留下列至少一种障碍：</w:t>
      </w:r>
    </w:p>
    <w:p>
      <w:pPr>
        <w:pStyle w:val="ListParagraph"/>
        <w:numPr>
          <w:ilvl w:val="0"/>
          <w:numId w:val="25"/>
        </w:numPr>
        <w:tabs>
          <w:tab w:pos="767" w:val="left" w:leader="none"/>
        </w:tabs>
        <w:spacing w:line="269" w:lineRule="exact" w:before="0" w:after="0"/>
        <w:ind w:left="767" w:right="0" w:hanging="529"/>
        <w:jc w:val="left"/>
        <w:rPr>
          <w:sz w:val="21"/>
        </w:rPr>
      </w:pPr>
      <w:r>
        <w:rPr>
          <w:spacing w:val="-2"/>
          <w:sz w:val="21"/>
        </w:rPr>
        <w:t>一肢（含）</w:t>
      </w:r>
      <w:r>
        <w:rPr>
          <w:spacing w:val="-9"/>
          <w:sz w:val="21"/>
        </w:rPr>
        <w:t>以上肢体肌力 </w:t>
      </w:r>
      <w:r>
        <w:rPr>
          <w:spacing w:val="-2"/>
          <w:sz w:val="21"/>
        </w:rPr>
        <w:t>2</w:t>
      </w:r>
      <w:r>
        <w:rPr>
          <w:spacing w:val="-26"/>
          <w:sz w:val="21"/>
        </w:rPr>
        <w:t> 级</w:t>
      </w:r>
      <w:r>
        <w:rPr>
          <w:spacing w:val="-2"/>
          <w:sz w:val="21"/>
        </w:rPr>
        <w:t>（含）</w:t>
      </w:r>
      <w:r>
        <w:rPr>
          <w:spacing w:val="-5"/>
          <w:sz w:val="21"/>
        </w:rPr>
        <w:t>以下；</w:t>
      </w:r>
    </w:p>
    <w:p>
      <w:pPr>
        <w:pStyle w:val="ListParagraph"/>
        <w:numPr>
          <w:ilvl w:val="0"/>
          <w:numId w:val="25"/>
        </w:numPr>
        <w:tabs>
          <w:tab w:pos="767" w:val="left" w:leader="none"/>
        </w:tabs>
        <w:spacing w:line="240" w:lineRule="auto" w:before="43" w:after="0"/>
        <w:ind w:left="767" w:right="0" w:hanging="529"/>
        <w:jc w:val="left"/>
        <w:rPr>
          <w:sz w:val="21"/>
        </w:rPr>
      </w:pPr>
      <w:r>
        <w:rPr>
          <w:spacing w:val="-3"/>
          <w:sz w:val="21"/>
        </w:rPr>
        <w:t>语言能力完全丧失，或严重咀嚼吞咽功能障碍；</w:t>
      </w:r>
    </w:p>
    <w:p>
      <w:pPr>
        <w:pStyle w:val="ListParagraph"/>
        <w:numPr>
          <w:ilvl w:val="0"/>
          <w:numId w:val="25"/>
        </w:numPr>
        <w:tabs>
          <w:tab w:pos="767" w:val="left" w:leader="none"/>
        </w:tabs>
        <w:spacing w:line="278" w:lineRule="auto" w:before="43" w:after="0"/>
        <w:ind w:left="238" w:right="1565" w:firstLine="0"/>
        <w:jc w:val="left"/>
        <w:rPr>
          <w:b/>
          <w:sz w:val="21"/>
        </w:rPr>
      </w:pPr>
      <w:r>
        <w:rPr>
          <w:spacing w:val="-2"/>
          <w:sz w:val="21"/>
        </w:rPr>
        <w:t>自主生活能力完全丧失，无法独立完成六项基本日常生活活动中的三项或三项以上。</w:t>
      </w:r>
      <w:r>
        <w:rPr>
          <w:b/>
          <w:spacing w:val="-2"/>
          <w:sz w:val="21"/>
        </w:rPr>
        <w:t>十九、严重原发性帕金森病</w:t>
      </w:r>
    </w:p>
    <w:p>
      <w:pPr>
        <w:pStyle w:val="BodyText"/>
        <w:spacing w:line="278" w:lineRule="auto"/>
        <w:ind w:right="1549"/>
        <w:jc w:val="both"/>
      </w:pPr>
      <w:r>
        <w:rPr>
          <w:spacing w:val="-4"/>
        </w:rPr>
        <w:t>是一种中枢神经系统的退行性疾病，临床表现为运动迟缓、静止性震颤或肌强直等，经相关</w:t>
      </w:r>
      <w:r>
        <w:rPr>
          <w:spacing w:val="-4"/>
        </w:rPr>
        <w:t>专科医生确诊，且须满足自主生活能力完全丧失，无法独立完成六项基本日常生活活动中的</w:t>
      </w:r>
      <w:r>
        <w:rPr>
          <w:spacing w:val="-2"/>
        </w:rPr>
        <w:t>三项或三项以上。</w:t>
      </w:r>
    </w:p>
    <w:p>
      <w:pPr>
        <w:pStyle w:val="Heading5"/>
        <w:spacing w:line="278" w:lineRule="auto"/>
        <w:ind w:right="4384"/>
      </w:pPr>
      <w:r>
        <w:rPr>
          <w:spacing w:val="-2"/>
        </w:rPr>
        <w:t>继发性帕金森综合征、帕金森叠加综合征不在保障范围内。</w:t>
      </w:r>
      <w:r>
        <w:rPr>
          <w:spacing w:val="-2"/>
        </w:rPr>
        <w:t>二十、严重Ⅲ度烧伤</w:t>
      </w:r>
    </w:p>
    <w:p>
      <w:pPr>
        <w:pStyle w:val="BodyText"/>
        <w:spacing w:line="278" w:lineRule="auto"/>
        <w:ind w:right="1549"/>
      </w:pPr>
      <w:r>
        <w:rPr>
          <w:spacing w:val="-2"/>
        </w:rPr>
        <w:t>指烧伤程度为Ⅲ度，且Ⅲ度烧伤的面积达到全身体表面积的 </w:t>
      </w:r>
      <w:r>
        <w:rPr/>
        <w:t>20</w:t>
      </w:r>
      <w:r>
        <w:rPr>
          <w:spacing w:val="-15"/>
        </w:rPr>
        <w:t>％或 </w:t>
      </w:r>
      <w:r>
        <w:rPr/>
        <w:t>20％以上。体表面积根</w:t>
      </w:r>
      <w:r>
        <w:rPr>
          <w:spacing w:val="-2"/>
        </w:rPr>
        <w:t>据《中国新九分法》计算。</w:t>
      </w:r>
    </w:p>
    <w:p>
      <w:pPr>
        <w:pStyle w:val="Heading5"/>
        <w:spacing w:line="269" w:lineRule="exact"/>
      </w:pPr>
      <w:r>
        <w:rPr>
          <w:spacing w:val="-3"/>
        </w:rPr>
        <w:t>二十一、严重特发性肺动脉高压</w:t>
      </w:r>
    </w:p>
    <w:p>
      <w:pPr>
        <w:pStyle w:val="BodyText"/>
        <w:spacing w:line="278" w:lineRule="auto" w:before="43"/>
        <w:ind w:right="1460"/>
      </w:pPr>
      <w:r>
        <w:rPr>
          <w:spacing w:val="-2"/>
        </w:rPr>
        <w:t>指不明原因的肺动脉压力持续性增高，进行性发展而导致的慢性疾病，已经造成永久不可逆</w:t>
      </w:r>
      <w:r>
        <w:rPr/>
        <w:t>性的体力活动能力受限，达到美国纽约心脏病学会（New</w:t>
      </w:r>
      <w:r>
        <w:rPr>
          <w:spacing w:val="-11"/>
        </w:rPr>
        <w:t> </w:t>
      </w:r>
      <w:r>
        <w:rPr/>
        <w:t>York</w:t>
      </w:r>
      <w:r>
        <w:rPr>
          <w:spacing w:val="-11"/>
        </w:rPr>
        <w:t> </w:t>
      </w:r>
      <w:r>
        <w:rPr/>
        <w:t>Heart</w:t>
      </w:r>
      <w:r>
        <w:rPr>
          <w:spacing w:val="-9"/>
        </w:rPr>
        <w:t> </w:t>
      </w:r>
      <w:r>
        <w:rPr/>
        <w:t>Association，NYHA）</w:t>
      </w:r>
      <w:r>
        <w:rPr>
          <w:spacing w:val="-2"/>
        </w:rPr>
        <w:t>心功能状态分级Ⅳ级，且静息状态下肺动脉平均压在 </w:t>
      </w:r>
      <w:r>
        <w:rPr/>
        <w:t>36mmHg（含）以上。</w:t>
      </w:r>
    </w:p>
    <w:p>
      <w:pPr>
        <w:pStyle w:val="Heading5"/>
        <w:spacing w:line="269" w:lineRule="exact"/>
      </w:pPr>
      <w:r>
        <w:rPr>
          <w:spacing w:val="-3"/>
        </w:rPr>
        <w:t>二十二、严重运动神经元病</w:t>
      </w:r>
    </w:p>
    <w:p>
      <w:pPr>
        <w:pStyle w:val="BodyText"/>
        <w:spacing w:line="278" w:lineRule="auto" w:before="43"/>
        <w:ind w:right="1549"/>
        <w:jc w:val="both"/>
      </w:pPr>
      <w:r>
        <w:rPr>
          <w:spacing w:val="-4"/>
        </w:rPr>
        <w:t>是一组中枢神经系统运动神经元的进行性变性疾病，包括进行性脊肌萎缩症、进行性延髓麻</w:t>
      </w:r>
      <w:r>
        <w:rPr>
          <w:spacing w:val="-2"/>
        </w:rPr>
        <w:t>痹症、原发性侧索硬化症、肌萎缩性侧索硬化症,经相关专科医生确诊，且须满足下列至少</w:t>
      </w:r>
      <w:r>
        <w:rPr>
          <w:spacing w:val="-2"/>
        </w:rPr>
        <w:t>一项条件：</w:t>
      </w:r>
    </w:p>
    <w:p>
      <w:pPr>
        <w:pStyle w:val="ListParagraph"/>
        <w:numPr>
          <w:ilvl w:val="0"/>
          <w:numId w:val="26"/>
        </w:numPr>
        <w:tabs>
          <w:tab w:pos="767" w:val="left" w:leader="none"/>
        </w:tabs>
        <w:spacing w:line="269" w:lineRule="exact" w:before="0" w:after="0"/>
        <w:ind w:left="767" w:right="0" w:hanging="529"/>
        <w:jc w:val="left"/>
        <w:rPr>
          <w:sz w:val="21"/>
        </w:rPr>
      </w:pPr>
      <w:r>
        <w:rPr>
          <w:spacing w:val="-3"/>
          <w:sz w:val="21"/>
        </w:rPr>
        <w:t>严重咀嚼吞咽功能障碍；</w:t>
      </w:r>
    </w:p>
    <w:p>
      <w:pPr>
        <w:pStyle w:val="ListParagraph"/>
        <w:numPr>
          <w:ilvl w:val="0"/>
          <w:numId w:val="26"/>
        </w:numPr>
        <w:tabs>
          <w:tab w:pos="767" w:val="left" w:leader="none"/>
        </w:tabs>
        <w:spacing w:line="240" w:lineRule="auto" w:before="43" w:after="0"/>
        <w:ind w:left="767" w:right="0" w:hanging="529"/>
        <w:jc w:val="left"/>
        <w:rPr>
          <w:sz w:val="21"/>
        </w:rPr>
      </w:pPr>
      <w:r>
        <w:rPr>
          <w:spacing w:val="-4"/>
          <w:sz w:val="21"/>
        </w:rPr>
        <w:t>呼吸肌麻痹导致严重呼吸困难，且已经持续使用呼吸机 </w:t>
      </w:r>
      <w:r>
        <w:rPr>
          <w:spacing w:val="-2"/>
          <w:sz w:val="21"/>
        </w:rPr>
        <w:t>7</w:t>
      </w:r>
      <w:r>
        <w:rPr>
          <w:spacing w:val="-24"/>
          <w:sz w:val="21"/>
        </w:rPr>
        <w:t> 天</w:t>
      </w:r>
      <w:r>
        <w:rPr>
          <w:spacing w:val="-2"/>
          <w:sz w:val="21"/>
        </w:rPr>
        <w:t>（含）</w:t>
      </w:r>
      <w:r>
        <w:rPr>
          <w:spacing w:val="-5"/>
          <w:sz w:val="21"/>
        </w:rPr>
        <w:t>以上；</w:t>
      </w:r>
    </w:p>
    <w:p>
      <w:pPr>
        <w:pStyle w:val="ListParagraph"/>
        <w:numPr>
          <w:ilvl w:val="0"/>
          <w:numId w:val="26"/>
        </w:numPr>
        <w:tabs>
          <w:tab w:pos="767" w:val="left" w:leader="none"/>
        </w:tabs>
        <w:spacing w:line="278" w:lineRule="auto" w:before="43" w:after="0"/>
        <w:ind w:left="238" w:right="1565" w:firstLine="0"/>
        <w:jc w:val="left"/>
        <w:rPr>
          <w:b/>
          <w:sz w:val="21"/>
        </w:rPr>
      </w:pPr>
      <w:r>
        <w:rPr>
          <w:spacing w:val="-2"/>
          <w:sz w:val="21"/>
        </w:rPr>
        <w:t>自主生活能力完全丧失，无法独立完成六项基本日常生活活动中的三项或三项以上。</w:t>
      </w:r>
      <w:r>
        <w:rPr>
          <w:b/>
          <w:spacing w:val="-2"/>
          <w:sz w:val="21"/>
        </w:rPr>
        <w:t>二十三、语言能力丧失</w:t>
      </w:r>
    </w:p>
    <w:p>
      <w:pPr>
        <w:pStyle w:val="BodyText"/>
        <w:spacing w:line="278" w:lineRule="auto"/>
        <w:ind w:right="1549"/>
      </w:pPr>
      <w:r>
        <w:rPr>
          <w:spacing w:val="-2"/>
        </w:rPr>
        <w:t>指因疾病或意外伤害导致语言能力完全丧失，经过积极治疗至少 </w:t>
      </w:r>
      <w:r>
        <w:rPr/>
        <w:t>12</w:t>
      </w:r>
      <w:r>
        <w:rPr>
          <w:spacing w:val="-16"/>
        </w:rPr>
        <w:t> 个月</w:t>
      </w:r>
      <w:r>
        <w:rPr/>
        <w:t>（声带完全切除不</w:t>
      </w:r>
      <w:r>
        <w:rPr>
          <w:spacing w:val="-2"/>
        </w:rPr>
        <w:t>受此时间限制</w:t>
      </w:r>
      <w:r>
        <w:rPr>
          <w:spacing w:val="-108"/>
        </w:rPr>
        <w:t>）</w:t>
      </w:r>
      <w:r>
        <w:rPr>
          <w:spacing w:val="-2"/>
        </w:rPr>
        <w:t>，仍无法通过现有医疗手段恢复。</w:t>
      </w:r>
    </w:p>
    <w:p>
      <w:pPr>
        <w:spacing w:line="269" w:lineRule="exact" w:before="0"/>
        <w:ind w:left="238" w:right="0" w:firstLine="0"/>
        <w:jc w:val="left"/>
        <w:rPr>
          <w:b/>
          <w:sz w:val="21"/>
        </w:rPr>
      </w:pPr>
      <w:r>
        <w:rPr>
          <w:b/>
          <w:spacing w:val="-3"/>
          <w:sz w:val="21"/>
        </w:rPr>
        <w:t>精神心理因素所致的语言能力丧失不在保障范围内。</w:t>
      </w:r>
    </w:p>
    <w:p>
      <w:pPr>
        <w:spacing w:line="278" w:lineRule="auto" w:before="43"/>
        <w:ind w:left="238" w:right="1551" w:firstLine="0"/>
        <w:jc w:val="left"/>
        <w:rPr>
          <w:b/>
          <w:sz w:val="21"/>
        </w:rPr>
      </w:pPr>
      <w:r>
        <w:rPr>
          <w:b/>
          <w:spacing w:val="-2"/>
          <w:sz w:val="21"/>
        </w:rPr>
        <w:t>被保险人申请理赔时年龄必须在 </w:t>
      </w:r>
      <w:r>
        <w:rPr>
          <w:b/>
          <w:sz w:val="21"/>
        </w:rPr>
        <w:t>3</w:t>
      </w:r>
      <w:r>
        <w:rPr>
          <w:b/>
          <w:spacing w:val="-5"/>
          <w:sz w:val="21"/>
        </w:rPr>
        <w:t> 周岁以上，并且提供理赔当时的语言能力丧失诊断及检</w:t>
      </w:r>
      <w:r>
        <w:rPr>
          <w:b/>
          <w:spacing w:val="-4"/>
          <w:sz w:val="21"/>
        </w:rPr>
        <w:t>查证据。</w:t>
      </w:r>
    </w:p>
    <w:p>
      <w:pPr>
        <w:spacing w:before="0"/>
        <w:ind w:left="238" w:right="0" w:firstLine="0"/>
        <w:jc w:val="left"/>
        <w:rPr>
          <w:b/>
          <w:sz w:val="21"/>
        </w:rPr>
      </w:pPr>
      <w:r>
        <w:rPr>
          <w:b/>
          <w:spacing w:val="-3"/>
          <w:sz w:val="21"/>
        </w:rPr>
        <w:t>二十四、重型再生障碍性贫血</w:t>
      </w:r>
    </w:p>
    <w:p>
      <w:pPr>
        <w:pStyle w:val="BodyText"/>
        <w:spacing w:line="278" w:lineRule="auto" w:before="43"/>
        <w:ind w:right="1549"/>
      </w:pPr>
      <w:r>
        <w:rPr>
          <w:spacing w:val="-4"/>
        </w:rPr>
        <w:t>指因骨髓造血功能慢性持续性衰竭导致的贫血、中性粒细胞减少及血小板减少，且须满足下</w:t>
      </w:r>
      <w:r>
        <w:rPr>
          <w:spacing w:val="-2"/>
        </w:rPr>
        <w:t>列全部条件：</w:t>
      </w:r>
    </w:p>
    <w:p>
      <w:pPr>
        <w:pStyle w:val="ListParagraph"/>
        <w:numPr>
          <w:ilvl w:val="0"/>
          <w:numId w:val="27"/>
        </w:numPr>
        <w:tabs>
          <w:tab w:pos="767" w:val="left" w:leader="none"/>
        </w:tabs>
        <w:spacing w:line="278" w:lineRule="auto" w:before="0" w:after="0"/>
        <w:ind w:left="238" w:right="1551" w:firstLine="0"/>
        <w:jc w:val="left"/>
        <w:rPr>
          <w:sz w:val="21"/>
        </w:rPr>
      </w:pPr>
      <w:r>
        <w:rPr>
          <w:spacing w:val="-4"/>
          <w:sz w:val="21"/>
        </w:rPr>
        <w:t>骨髓穿刺检查或骨髓活检结果支持诊断：骨髓细胞增生程度&lt;正常的 </w:t>
      </w:r>
      <w:r>
        <w:rPr>
          <w:spacing w:val="-2"/>
          <w:sz w:val="21"/>
        </w:rPr>
        <w:t>25%；如≥正常的 25%但&lt;50%，则残存的造血细胞应&lt;30%；</w:t>
      </w:r>
    </w:p>
    <w:p>
      <w:pPr>
        <w:pStyle w:val="ListParagraph"/>
        <w:numPr>
          <w:ilvl w:val="0"/>
          <w:numId w:val="27"/>
        </w:numPr>
        <w:tabs>
          <w:tab w:pos="767" w:val="left" w:leader="none"/>
        </w:tabs>
        <w:spacing w:line="269" w:lineRule="exact" w:before="0" w:after="0"/>
        <w:ind w:left="767" w:right="0" w:hanging="529"/>
        <w:jc w:val="left"/>
        <w:rPr>
          <w:sz w:val="21"/>
        </w:rPr>
      </w:pPr>
      <w:r>
        <w:rPr>
          <w:spacing w:val="-3"/>
          <w:sz w:val="21"/>
        </w:rPr>
        <w:t>外周血象须具备以下三项条件中的两项：</w:t>
      </w:r>
    </w:p>
    <w:p>
      <w:pPr>
        <w:pStyle w:val="BodyText"/>
        <w:spacing w:before="33"/>
      </w:pPr>
      <w:r>
        <w:rPr>
          <w:spacing w:val="-2"/>
        </w:rPr>
        <w:t>①中性粒细胞绝对值&lt;0.5×10</w:t>
      </w:r>
      <w:r>
        <w:rPr>
          <w:spacing w:val="-2"/>
          <w:position w:val="11"/>
          <w:sz w:val="11"/>
        </w:rPr>
        <w:t>9</w:t>
      </w:r>
      <w:r>
        <w:rPr>
          <w:spacing w:val="-2"/>
        </w:rPr>
        <w:t>/L；</w:t>
      </w:r>
    </w:p>
    <w:p>
      <w:pPr>
        <w:spacing w:after="0"/>
        <w:sectPr>
          <w:pgSz w:w="11910" w:h="16840"/>
          <w:pgMar w:header="0" w:footer="1005" w:top="1400" w:bottom="1200" w:left="1560" w:right="240"/>
        </w:sectPr>
      </w:pPr>
    </w:p>
    <w:p>
      <w:pPr>
        <w:pStyle w:val="BodyText"/>
        <w:spacing w:before="74"/>
      </w:pPr>
      <w:r>
        <w:rPr>
          <w:spacing w:val="-2"/>
        </w:rPr>
        <w:t>②网织红细胞计数&lt;20×10</w:t>
      </w:r>
      <w:r>
        <w:rPr>
          <w:spacing w:val="-2"/>
          <w:position w:val="11"/>
          <w:sz w:val="11"/>
        </w:rPr>
        <w:t>9</w:t>
      </w:r>
      <w:r>
        <w:rPr>
          <w:spacing w:val="-2"/>
        </w:rPr>
        <w:t>/L；</w:t>
      </w:r>
    </w:p>
    <w:p>
      <w:pPr>
        <w:spacing w:line="278" w:lineRule="auto" w:before="33"/>
        <w:ind w:left="238" w:right="7185" w:firstLine="0"/>
        <w:jc w:val="left"/>
        <w:rPr>
          <w:b/>
          <w:sz w:val="21"/>
        </w:rPr>
      </w:pPr>
      <w:r>
        <w:rPr>
          <w:spacing w:val="-2"/>
          <w:sz w:val="21"/>
        </w:rPr>
        <w:t>③血小板绝对值&lt;20×10</w:t>
      </w:r>
      <w:r>
        <w:rPr>
          <w:spacing w:val="-2"/>
          <w:position w:val="11"/>
          <w:sz w:val="11"/>
        </w:rPr>
        <w:t>9</w:t>
      </w:r>
      <w:r>
        <w:rPr>
          <w:spacing w:val="-2"/>
          <w:sz w:val="21"/>
        </w:rPr>
        <w:t>/L</w:t>
      </w:r>
      <w:r>
        <w:rPr>
          <w:spacing w:val="-2"/>
          <w:sz w:val="21"/>
        </w:rPr>
        <w:t>。</w:t>
      </w:r>
      <w:r>
        <w:rPr>
          <w:b/>
          <w:spacing w:val="-2"/>
          <w:sz w:val="21"/>
        </w:rPr>
        <w:t>二十五、主动脉手术</w:t>
      </w:r>
    </w:p>
    <w:p>
      <w:pPr>
        <w:pStyle w:val="BodyText"/>
        <w:spacing w:line="278" w:lineRule="auto"/>
        <w:ind w:right="1460"/>
      </w:pPr>
      <w:r>
        <w:rPr>
          <w:spacing w:val="-2"/>
        </w:rPr>
        <w:t>指为治疗主动脉疾病或主动脉创伤，已经实施了开胸（含胸腔镜下）或开腹（含腹腔镜下）</w:t>
      </w:r>
      <w:r>
        <w:rPr>
          <w:spacing w:val="-2"/>
        </w:rPr>
        <w:t>进行的切除、置换、修补病损主动脉血管、主动脉创伤后修复的手术。主动脉指升主动脉、</w:t>
      </w:r>
      <w:r>
        <w:rPr>
          <w:spacing w:val="-2"/>
        </w:rPr>
        <w:t>主动脉弓和降主动脉（含胸主动脉和腹主动脉</w:t>
      </w:r>
      <w:r>
        <w:rPr>
          <w:spacing w:val="-106"/>
        </w:rPr>
        <w:t>）</w:t>
      </w:r>
      <w:r>
        <w:rPr>
          <w:spacing w:val="-2"/>
        </w:rPr>
        <w:t>，不包括升主动脉、主动脉弓和降主动脉的</w:t>
      </w:r>
      <w:r>
        <w:rPr>
          <w:spacing w:val="-2"/>
        </w:rPr>
        <w:t>分支血管。</w:t>
      </w:r>
    </w:p>
    <w:p>
      <w:pPr>
        <w:pStyle w:val="Heading5"/>
        <w:spacing w:line="278" w:lineRule="auto"/>
        <w:ind w:right="4384"/>
      </w:pPr>
      <w:r>
        <w:rPr>
          <w:spacing w:val="-2"/>
        </w:rPr>
        <w:t>所有未实施开胸或开腹的动脉内介入治疗不在保障范围内。</w:t>
      </w:r>
      <w:r>
        <w:rPr>
          <w:spacing w:val="-2"/>
        </w:rPr>
        <w:t>二十六、严重慢性呼吸衰竭</w:t>
      </w:r>
    </w:p>
    <w:p>
      <w:pPr>
        <w:pStyle w:val="BodyText"/>
        <w:spacing w:line="278" w:lineRule="auto"/>
        <w:ind w:right="1549"/>
      </w:pPr>
      <w:r>
        <w:rPr>
          <w:spacing w:val="-6"/>
        </w:rPr>
        <w:t>指因慢性呼吸系统疾病导致永久不可逆性的呼吸衰竭，经过积极治疗 </w:t>
      </w:r>
      <w:r>
        <w:rPr/>
        <w:t>180</w:t>
      </w:r>
      <w:r>
        <w:rPr>
          <w:spacing w:val="-8"/>
        </w:rPr>
        <w:t> 天后满足以下所有</w:t>
      </w:r>
      <w:r>
        <w:rPr>
          <w:spacing w:val="-4"/>
        </w:rPr>
        <w:t>条件：</w:t>
      </w:r>
    </w:p>
    <w:p>
      <w:pPr>
        <w:pStyle w:val="ListParagraph"/>
        <w:numPr>
          <w:ilvl w:val="0"/>
          <w:numId w:val="28"/>
        </w:numPr>
        <w:tabs>
          <w:tab w:pos="767" w:val="left" w:leader="none"/>
        </w:tabs>
        <w:spacing w:line="269" w:lineRule="exact" w:before="0" w:after="0"/>
        <w:ind w:left="767" w:right="0" w:hanging="529"/>
        <w:jc w:val="left"/>
        <w:rPr>
          <w:sz w:val="21"/>
        </w:rPr>
      </w:pPr>
      <w:r>
        <w:rPr>
          <w:spacing w:val="-3"/>
          <w:sz w:val="21"/>
        </w:rPr>
        <w:t>静息时出现呼吸困难；</w:t>
      </w:r>
    </w:p>
    <w:p>
      <w:pPr>
        <w:pStyle w:val="ListParagraph"/>
        <w:numPr>
          <w:ilvl w:val="0"/>
          <w:numId w:val="28"/>
        </w:numPr>
        <w:tabs>
          <w:tab w:pos="767" w:val="left" w:leader="none"/>
        </w:tabs>
        <w:spacing w:line="240" w:lineRule="auto" w:before="42" w:after="0"/>
        <w:ind w:left="767" w:right="0" w:hanging="529"/>
        <w:jc w:val="left"/>
        <w:rPr>
          <w:sz w:val="21"/>
        </w:rPr>
      </w:pPr>
      <w:r>
        <w:rPr>
          <w:spacing w:val="-2"/>
          <w:position w:val="1"/>
          <w:sz w:val="21"/>
        </w:rPr>
        <w:t>肺功能第一秒用力呼气容积（FEV</w:t>
      </w:r>
      <w:r>
        <w:rPr>
          <w:spacing w:val="-2"/>
          <w:sz w:val="11"/>
        </w:rPr>
        <w:t>1</w:t>
      </w:r>
      <w:r>
        <w:rPr>
          <w:spacing w:val="-2"/>
          <w:position w:val="1"/>
          <w:sz w:val="21"/>
        </w:rPr>
        <w:t>）占预计值的百分比＜30%；</w:t>
      </w:r>
    </w:p>
    <w:p>
      <w:pPr>
        <w:pStyle w:val="ListParagraph"/>
        <w:numPr>
          <w:ilvl w:val="0"/>
          <w:numId w:val="28"/>
        </w:numPr>
        <w:tabs>
          <w:tab w:pos="767" w:val="left" w:leader="none"/>
        </w:tabs>
        <w:spacing w:line="278" w:lineRule="auto" w:before="44" w:after="0"/>
        <w:ind w:left="238" w:right="3296" w:firstLine="0"/>
        <w:jc w:val="left"/>
        <w:rPr>
          <w:b/>
          <w:sz w:val="21"/>
        </w:rPr>
      </w:pPr>
      <w:r>
        <w:rPr>
          <w:spacing w:val="-2"/>
          <w:position w:val="1"/>
          <w:sz w:val="21"/>
        </w:rPr>
        <w:t>在静息状态、呼吸空气条件下，动脉血氧分压（PaO</w:t>
      </w:r>
      <w:r>
        <w:rPr>
          <w:spacing w:val="-2"/>
          <w:sz w:val="11"/>
        </w:rPr>
        <w:t>2</w:t>
      </w:r>
      <w:r>
        <w:rPr>
          <w:spacing w:val="-2"/>
          <w:position w:val="1"/>
          <w:sz w:val="21"/>
        </w:rPr>
        <w:t>）＜50mmHg。</w:t>
      </w:r>
      <w:r>
        <w:rPr>
          <w:b/>
          <w:spacing w:val="-2"/>
          <w:sz w:val="21"/>
        </w:rPr>
        <w:t>二十七、严重克罗恩病</w:t>
      </w:r>
    </w:p>
    <w:p>
      <w:pPr>
        <w:pStyle w:val="BodyText"/>
        <w:spacing w:line="278" w:lineRule="auto"/>
        <w:ind w:right="1548"/>
      </w:pPr>
      <w:r>
        <w:rPr>
          <w:spacing w:val="-2"/>
        </w:rPr>
        <w:t>指一种慢性肉芽肿性肠炎，具有特征性的克罗恩病（Crohn</w:t>
      </w:r>
      <w:r>
        <w:rPr>
          <w:spacing w:val="-21"/>
        </w:rPr>
        <w:t> 病</w:t>
      </w:r>
      <w:r>
        <w:rPr>
          <w:spacing w:val="-2"/>
        </w:rPr>
        <w:t>）病理组织学变化，须根据组</w:t>
      </w:r>
      <w:r>
        <w:rPr>
          <w:spacing w:val="-2"/>
        </w:rPr>
        <w:t>织病理学特点诊断，且已经造成瘘管形成并伴有肠梗阻或肠穿孔。</w:t>
      </w:r>
    </w:p>
    <w:p>
      <w:pPr>
        <w:pStyle w:val="Heading5"/>
        <w:spacing w:line="269" w:lineRule="exact"/>
      </w:pPr>
      <w:r>
        <w:rPr>
          <w:spacing w:val="-3"/>
        </w:rPr>
        <w:t>二十八、严重溃疡性结肠炎</w:t>
      </w:r>
    </w:p>
    <w:p>
      <w:pPr>
        <w:pStyle w:val="BodyText"/>
        <w:spacing w:line="278" w:lineRule="auto" w:before="43"/>
        <w:ind w:right="1445"/>
        <w:rPr>
          <w:b/>
        </w:rPr>
      </w:pPr>
      <w:r>
        <w:rPr>
          <w:spacing w:val="-2"/>
        </w:rPr>
        <w:t>指伴有致命性电解质紊乱的急性暴发性溃疡性结肠炎，病变已经累及全结肠，表现为严重的</w:t>
      </w:r>
      <w:r>
        <w:rPr>
          <w:spacing w:val="-15"/>
        </w:rPr>
        <w:t>血便和系统性症状体征，须根据组织病理学特点诊断，且已经实施了结肠切除或回肠造瘘术。</w:t>
      </w:r>
      <w:r>
        <w:rPr>
          <w:b/>
          <w:spacing w:val="-2"/>
        </w:rPr>
        <w:t>二十九、胰腺移植</w:t>
      </w:r>
    </w:p>
    <w:p>
      <w:pPr>
        <w:spacing w:line="278" w:lineRule="auto" w:before="0"/>
        <w:ind w:left="238" w:right="2720" w:firstLine="0"/>
        <w:jc w:val="left"/>
        <w:rPr>
          <w:b/>
          <w:sz w:val="21"/>
        </w:rPr>
      </w:pPr>
      <w:r>
        <w:rPr>
          <w:spacing w:val="-2"/>
          <w:sz w:val="21"/>
        </w:rPr>
        <w:t>指胰腺功能衰竭，已经实施了在全身麻醉下进行的胰腺的异体器官移植手术。</w:t>
      </w:r>
      <w:r>
        <w:rPr>
          <w:b/>
          <w:spacing w:val="-2"/>
          <w:sz w:val="21"/>
        </w:rPr>
        <w:t>单纯胰岛移植、部分胰腺组织或细胞的移植不在保障范围内。</w:t>
      </w:r>
    </w:p>
    <w:p>
      <w:pPr>
        <w:pStyle w:val="Heading5"/>
        <w:spacing w:line="269" w:lineRule="exact"/>
      </w:pPr>
      <w:r>
        <w:rPr>
          <w:spacing w:val="-3"/>
        </w:rPr>
        <w:t>三十、埃博拉病毒感染</w:t>
      </w:r>
    </w:p>
    <w:p>
      <w:pPr>
        <w:pStyle w:val="BodyText"/>
        <w:spacing w:before="42"/>
      </w:pPr>
      <w:r>
        <w:rPr>
          <w:spacing w:val="-3"/>
        </w:rPr>
        <w:t>指埃博拉病毒感染导致的烈性传染病，并须满足下列全部条件：</w:t>
      </w:r>
    </w:p>
    <w:p>
      <w:pPr>
        <w:pStyle w:val="ListParagraph"/>
        <w:numPr>
          <w:ilvl w:val="0"/>
          <w:numId w:val="29"/>
        </w:numPr>
        <w:tabs>
          <w:tab w:pos="767" w:val="left" w:leader="none"/>
        </w:tabs>
        <w:spacing w:line="240" w:lineRule="auto" w:before="44" w:after="0"/>
        <w:ind w:left="767" w:right="0" w:hanging="529"/>
        <w:jc w:val="left"/>
        <w:rPr>
          <w:sz w:val="21"/>
        </w:rPr>
      </w:pPr>
      <w:r>
        <w:rPr>
          <w:spacing w:val="-3"/>
          <w:sz w:val="21"/>
        </w:rPr>
        <w:t>实验室检查证实埃博拉病毒的存在；</w:t>
      </w:r>
    </w:p>
    <w:p>
      <w:pPr>
        <w:pStyle w:val="ListParagraph"/>
        <w:numPr>
          <w:ilvl w:val="0"/>
          <w:numId w:val="29"/>
        </w:numPr>
        <w:tabs>
          <w:tab w:pos="767" w:val="left" w:leader="none"/>
        </w:tabs>
        <w:spacing w:line="278" w:lineRule="auto" w:before="43" w:after="0"/>
        <w:ind w:left="238" w:right="5243" w:firstLine="0"/>
        <w:jc w:val="left"/>
        <w:rPr>
          <w:b/>
          <w:sz w:val="21"/>
        </w:rPr>
      </w:pPr>
      <w:r>
        <w:rPr>
          <w:spacing w:val="-8"/>
          <w:sz w:val="21"/>
        </w:rPr>
        <w:t>从发病开始有超过 </w:t>
      </w:r>
      <w:r>
        <w:rPr>
          <w:spacing w:val="-2"/>
          <w:sz w:val="21"/>
        </w:rPr>
        <w:t>30</w:t>
      </w:r>
      <w:r>
        <w:rPr>
          <w:spacing w:val="-9"/>
          <w:sz w:val="21"/>
        </w:rPr>
        <w:t> 天的进行性感染症状。</w:t>
      </w:r>
      <w:r>
        <w:rPr>
          <w:b/>
          <w:spacing w:val="-2"/>
          <w:sz w:val="21"/>
        </w:rPr>
        <w:t>三十一、丝虫病所致象皮肿</w:t>
      </w:r>
    </w:p>
    <w:p>
      <w:pPr>
        <w:pStyle w:val="BodyText"/>
        <w:spacing w:line="278" w:lineRule="auto"/>
        <w:ind w:right="1549"/>
        <w:jc w:val="both"/>
      </w:pPr>
      <w:r>
        <w:rPr>
          <w:spacing w:val="-4"/>
        </w:rPr>
        <w:t>指末期丝虫病，按国际淋巴学会分级为三度淋巴液肿，其临床表现为肢体非凹陷性水肿伴畸</w:t>
      </w:r>
      <w:r>
        <w:rPr>
          <w:spacing w:val="-4"/>
        </w:rPr>
        <w:t>形增大、硬皮症和疣状增生。此病症须经本公司认可的专科医生根据临床表现和微丝蚴的化</w:t>
      </w:r>
      <w:r>
        <w:rPr>
          <w:spacing w:val="-2"/>
        </w:rPr>
        <w:t>验结果确诊。</w:t>
      </w:r>
    </w:p>
    <w:p>
      <w:pPr>
        <w:pStyle w:val="Heading5"/>
        <w:spacing w:line="269" w:lineRule="exact"/>
      </w:pPr>
      <w:r>
        <w:rPr>
          <w:spacing w:val="-3"/>
        </w:rPr>
        <w:t>三十二、严重克雅氏病</w:t>
      </w:r>
    </w:p>
    <w:p>
      <w:pPr>
        <w:pStyle w:val="BodyText"/>
        <w:spacing w:line="278" w:lineRule="auto" w:before="42"/>
        <w:ind w:right="1549"/>
        <w:jc w:val="both"/>
      </w:pPr>
      <w:r>
        <w:rPr>
          <w:spacing w:val="-4"/>
        </w:rPr>
        <w:t>是一种传染性海绵状脑病，临床表现为快速进行性痴呆、肌阵挛和特征性脑电图变化。本病</w:t>
      </w:r>
      <w:r>
        <w:rPr>
          <w:spacing w:val="-1"/>
        </w:rPr>
        <w:t>须经三级医院的专科医生根据 </w:t>
      </w:r>
      <w:r>
        <w:rPr/>
        <w:t>WHO</w:t>
      </w:r>
      <w:r>
        <w:rPr>
          <w:spacing w:val="-3"/>
        </w:rPr>
        <w:t> 诊断标准明确诊断，并且被保险人自主生活能力完全丧</w:t>
      </w:r>
      <w:r>
        <w:rPr>
          <w:spacing w:val="-2"/>
        </w:rPr>
        <w:t>失，无法独立完成六项基本日常生活活动中的三项或三项以上。</w:t>
      </w:r>
    </w:p>
    <w:p>
      <w:pPr>
        <w:pStyle w:val="Heading5"/>
        <w:spacing w:line="269" w:lineRule="exact"/>
      </w:pPr>
      <w:r>
        <w:rPr>
          <w:spacing w:val="-3"/>
        </w:rPr>
        <w:t>疑似病例不在本保障范围内。</w:t>
      </w:r>
    </w:p>
    <w:p>
      <w:pPr>
        <w:spacing w:before="43"/>
        <w:ind w:left="238" w:right="0" w:firstLine="0"/>
        <w:jc w:val="left"/>
        <w:rPr>
          <w:b/>
          <w:sz w:val="21"/>
        </w:rPr>
      </w:pPr>
      <w:r>
        <w:rPr>
          <w:b/>
          <w:w w:val="95"/>
          <w:sz w:val="21"/>
        </w:rPr>
        <w:t>三</w:t>
      </w:r>
      <w:r>
        <w:rPr>
          <w:b/>
          <w:w w:val="95"/>
          <w:sz w:val="21"/>
        </w:rPr>
        <w:t>十</w:t>
      </w:r>
      <w:r>
        <w:rPr>
          <w:b/>
          <w:w w:val="95"/>
          <w:sz w:val="21"/>
        </w:rPr>
        <w:t>三</w:t>
      </w:r>
      <w:r>
        <w:rPr>
          <w:b/>
          <w:w w:val="95"/>
          <w:sz w:val="21"/>
        </w:rPr>
        <w:t>、</w:t>
      </w:r>
      <w:r>
        <w:rPr>
          <w:b/>
          <w:w w:val="95"/>
          <w:sz w:val="21"/>
        </w:rPr>
        <w:t>经</w:t>
      </w:r>
      <w:r>
        <w:rPr>
          <w:b/>
          <w:w w:val="95"/>
          <w:sz w:val="21"/>
        </w:rPr>
        <w:t>输</w:t>
      </w:r>
      <w:r>
        <w:rPr>
          <w:b/>
          <w:w w:val="95"/>
          <w:sz w:val="21"/>
        </w:rPr>
        <w:t>血</w:t>
      </w:r>
      <w:r>
        <w:rPr>
          <w:b/>
          <w:w w:val="95"/>
          <w:sz w:val="21"/>
        </w:rPr>
        <w:t>导</w:t>
      </w:r>
      <w:r>
        <w:rPr>
          <w:b/>
          <w:w w:val="95"/>
          <w:sz w:val="21"/>
        </w:rPr>
        <w:t>致的人</w:t>
      </w:r>
      <w:r>
        <w:rPr>
          <w:b/>
          <w:w w:val="95"/>
          <w:sz w:val="21"/>
        </w:rPr>
        <w:t>类</w:t>
      </w:r>
      <w:r>
        <w:rPr>
          <w:b/>
          <w:w w:val="95"/>
          <w:sz w:val="21"/>
        </w:rPr>
        <w:t>免</w:t>
      </w:r>
      <w:r>
        <w:rPr>
          <w:b/>
          <w:w w:val="95"/>
          <w:sz w:val="21"/>
        </w:rPr>
        <w:t>疫</w:t>
      </w:r>
      <w:r>
        <w:rPr>
          <w:b/>
          <w:w w:val="95"/>
          <w:sz w:val="21"/>
        </w:rPr>
        <w:t>缺</w:t>
      </w:r>
      <w:r>
        <w:rPr>
          <w:b/>
          <w:w w:val="95"/>
          <w:sz w:val="21"/>
        </w:rPr>
        <w:t>陷</w:t>
      </w:r>
      <w:r>
        <w:rPr>
          <w:b/>
          <w:w w:val="95"/>
          <w:sz w:val="21"/>
        </w:rPr>
        <w:t>病</w:t>
      </w:r>
      <w:r>
        <w:rPr>
          <w:b/>
          <w:w w:val="95"/>
          <w:sz w:val="21"/>
        </w:rPr>
        <w:t>毒</w:t>
      </w:r>
      <w:r>
        <w:rPr>
          <w:b/>
          <w:w w:val="95"/>
          <w:sz w:val="21"/>
        </w:rPr>
        <w:t>（HIV）</w:t>
      </w:r>
      <w:r>
        <w:rPr>
          <w:b/>
          <w:spacing w:val="-5"/>
          <w:w w:val="95"/>
          <w:sz w:val="21"/>
        </w:rPr>
        <w:t>感染</w:t>
      </w:r>
    </w:p>
    <w:p>
      <w:pPr>
        <w:pStyle w:val="BodyText"/>
        <w:spacing w:before="44"/>
      </w:pPr>
      <w:r>
        <w:rPr>
          <w:spacing w:val="-2"/>
        </w:rPr>
        <w:t>指被保险人感染上人类免疫缺陷病毒（HIV）</w:t>
      </w:r>
      <w:r>
        <w:rPr>
          <w:spacing w:val="-3"/>
        </w:rPr>
        <w:t>并且符合下列所有条件：</w:t>
      </w:r>
    </w:p>
    <w:p>
      <w:pPr>
        <w:pStyle w:val="ListParagraph"/>
        <w:numPr>
          <w:ilvl w:val="0"/>
          <w:numId w:val="30"/>
        </w:numPr>
        <w:tabs>
          <w:tab w:pos="767" w:val="left" w:leader="none"/>
        </w:tabs>
        <w:spacing w:line="240" w:lineRule="auto" w:before="43" w:after="0"/>
        <w:ind w:left="767" w:right="0" w:hanging="529"/>
        <w:jc w:val="left"/>
        <w:rPr>
          <w:sz w:val="21"/>
        </w:rPr>
      </w:pPr>
      <w:r>
        <w:rPr>
          <w:spacing w:val="-2"/>
          <w:sz w:val="21"/>
        </w:rPr>
        <w:t>被保险人因治疗必须而接受输血，并且因输血而感染人类免疫缺陷病毒</w:t>
      </w:r>
      <w:r>
        <w:rPr>
          <w:spacing w:val="33"/>
          <w:sz w:val="21"/>
        </w:rPr>
        <w:t>（</w:t>
      </w:r>
      <w:r>
        <w:rPr>
          <w:spacing w:val="34"/>
          <w:sz w:val="21"/>
        </w:rPr>
        <w:t>HIV</w:t>
      </w:r>
      <w:r>
        <w:rPr>
          <w:spacing w:val="-74"/>
          <w:sz w:val="21"/>
        </w:rPr>
        <w:t>）；</w:t>
      </w:r>
    </w:p>
    <w:p>
      <w:pPr>
        <w:pStyle w:val="ListParagraph"/>
        <w:numPr>
          <w:ilvl w:val="0"/>
          <w:numId w:val="30"/>
        </w:numPr>
        <w:tabs>
          <w:tab w:pos="767" w:val="left" w:leader="none"/>
        </w:tabs>
        <w:spacing w:line="278" w:lineRule="auto" w:before="43" w:after="0"/>
        <w:ind w:left="238" w:right="1565" w:firstLine="0"/>
        <w:jc w:val="left"/>
        <w:rPr>
          <w:sz w:val="21"/>
        </w:rPr>
      </w:pPr>
      <w:r>
        <w:rPr>
          <w:spacing w:val="-2"/>
          <w:sz w:val="21"/>
        </w:rPr>
        <w:t>提供输血治疗的输血中心或医院出具该项输血感染属医疗责任事故的报告，或者法院</w:t>
      </w:r>
      <w:r>
        <w:rPr>
          <w:spacing w:val="-2"/>
          <w:sz w:val="21"/>
        </w:rPr>
        <w:t>终审裁定为医疗责任并且不准上诉；</w:t>
      </w:r>
    </w:p>
    <w:p>
      <w:pPr>
        <w:pStyle w:val="ListParagraph"/>
        <w:numPr>
          <w:ilvl w:val="0"/>
          <w:numId w:val="30"/>
        </w:numPr>
        <w:tabs>
          <w:tab w:pos="767" w:val="left" w:leader="none"/>
        </w:tabs>
        <w:spacing w:line="269" w:lineRule="exact" w:before="0" w:after="0"/>
        <w:ind w:left="767" w:right="0" w:hanging="529"/>
        <w:jc w:val="left"/>
        <w:rPr>
          <w:sz w:val="21"/>
        </w:rPr>
      </w:pPr>
      <w:r>
        <w:rPr>
          <w:spacing w:val="-3"/>
          <w:sz w:val="21"/>
        </w:rPr>
        <w:t>提供输血治疗的输血中心或医院必须拥有合法经营执照；</w:t>
      </w:r>
    </w:p>
    <w:p>
      <w:pPr>
        <w:pStyle w:val="ListParagraph"/>
        <w:numPr>
          <w:ilvl w:val="0"/>
          <w:numId w:val="30"/>
        </w:numPr>
        <w:tabs>
          <w:tab w:pos="767" w:val="left" w:leader="none"/>
        </w:tabs>
        <w:spacing w:line="240" w:lineRule="auto" w:before="43" w:after="0"/>
        <w:ind w:left="767" w:right="0" w:hanging="529"/>
        <w:jc w:val="left"/>
        <w:rPr>
          <w:sz w:val="21"/>
        </w:rPr>
      </w:pPr>
      <w:r>
        <w:rPr>
          <w:spacing w:val="-3"/>
          <w:sz w:val="21"/>
        </w:rPr>
        <w:t>受感染的被保险人不是血友病患者。</w:t>
      </w:r>
    </w:p>
    <w:p>
      <w:pPr>
        <w:spacing w:after="0" w:line="240" w:lineRule="auto"/>
        <w:jc w:val="left"/>
        <w:rPr>
          <w:sz w:val="21"/>
        </w:rPr>
        <w:sectPr>
          <w:pgSz w:w="11910" w:h="16840"/>
          <w:pgMar w:header="0" w:footer="1005" w:top="1360" w:bottom="1200" w:left="1560" w:right="240"/>
        </w:sectPr>
      </w:pPr>
    </w:p>
    <w:p>
      <w:pPr>
        <w:spacing w:line="278" w:lineRule="auto" w:before="44"/>
        <w:ind w:left="238" w:right="1643" w:firstLine="0"/>
        <w:jc w:val="left"/>
        <w:rPr>
          <w:b/>
          <w:sz w:val="21"/>
        </w:rPr>
      </w:pPr>
      <w:r>
        <w:rPr>
          <w:b/>
          <w:spacing w:val="-2"/>
          <w:sz w:val="21"/>
        </w:rPr>
        <w:t>保险公司必须拥有获得使用被保险人的所有血液样本的权利和能够对这些样本进行独立检</w:t>
      </w:r>
      <w:r>
        <w:rPr>
          <w:b/>
          <w:spacing w:val="-2"/>
          <w:sz w:val="21"/>
        </w:rPr>
        <w:t>验的权利。</w:t>
      </w:r>
    </w:p>
    <w:p>
      <w:pPr>
        <w:spacing w:line="278" w:lineRule="auto" w:before="0"/>
        <w:ind w:left="238" w:right="1552" w:firstLine="0"/>
        <w:jc w:val="left"/>
        <w:rPr>
          <w:b/>
          <w:sz w:val="21"/>
        </w:rPr>
      </w:pPr>
      <w:r>
        <w:rPr>
          <w:b/>
          <w:spacing w:val="-2"/>
          <w:sz w:val="21"/>
        </w:rPr>
        <w:t>在任何治愈艾滋病或阻止人类免疫缺陷病毒（HIV）病毒作用的疗法被发现以后，或能防止</w:t>
      </w:r>
      <w:r>
        <w:rPr>
          <w:b/>
          <w:spacing w:val="-2"/>
          <w:sz w:val="21"/>
        </w:rPr>
        <w:t>艾滋病发生的医疗方法被研究出来以后，本项疾病责任将不再予以赔付。</w:t>
      </w:r>
    </w:p>
    <w:p>
      <w:pPr>
        <w:spacing w:line="278" w:lineRule="auto" w:before="0"/>
        <w:ind w:left="238" w:right="1643" w:firstLine="0"/>
        <w:jc w:val="left"/>
        <w:rPr>
          <w:b/>
          <w:sz w:val="21"/>
        </w:rPr>
      </w:pPr>
      <w:r>
        <w:rPr>
          <w:b/>
          <w:spacing w:val="-2"/>
          <w:sz w:val="21"/>
        </w:rPr>
        <w:t>本公司承担本项疾病责任不受本合同责任免除中“被保险人感染艾滋病病毒或患艾滋病”</w:t>
      </w:r>
      <w:r>
        <w:rPr>
          <w:b/>
          <w:spacing w:val="-4"/>
          <w:sz w:val="21"/>
        </w:rPr>
        <w:t>的限制。</w:t>
      </w:r>
    </w:p>
    <w:p>
      <w:pPr>
        <w:spacing w:line="269" w:lineRule="exact" w:before="0"/>
        <w:ind w:left="238" w:right="0" w:firstLine="0"/>
        <w:jc w:val="left"/>
        <w:rPr>
          <w:b/>
          <w:sz w:val="21"/>
        </w:rPr>
      </w:pPr>
      <w:r>
        <w:rPr>
          <w:b/>
          <w:spacing w:val="-3"/>
          <w:sz w:val="21"/>
        </w:rPr>
        <w:t>三十四、原发性硬化性胆管炎</w:t>
      </w:r>
    </w:p>
    <w:p>
      <w:pPr>
        <w:pStyle w:val="BodyText"/>
        <w:spacing w:line="278" w:lineRule="auto" w:before="43"/>
        <w:ind w:right="1549"/>
        <w:jc w:val="both"/>
      </w:pPr>
      <w:r>
        <w:rPr>
          <w:spacing w:val="-4"/>
        </w:rPr>
        <w:t>指一种胆汁淤积综合征，其特征是肝内、肝外胆道因纤维化性炎症逐渐狭窄，并最终导致完</w:t>
      </w:r>
      <w:r>
        <w:rPr>
          <w:spacing w:val="-4"/>
        </w:rPr>
        <w:t>全阻塞而发展为肝硬化。本病须经内镜逆行胰胆管造影等影像学检查证实，并须满足下列全</w:t>
      </w:r>
      <w:r>
        <w:rPr>
          <w:spacing w:val="-4"/>
        </w:rPr>
        <w:t>部条件：</w:t>
      </w:r>
    </w:p>
    <w:p>
      <w:pPr>
        <w:pStyle w:val="ListParagraph"/>
        <w:numPr>
          <w:ilvl w:val="0"/>
          <w:numId w:val="31"/>
        </w:numPr>
        <w:tabs>
          <w:tab w:pos="767" w:val="left" w:leader="none"/>
        </w:tabs>
        <w:spacing w:line="269" w:lineRule="exact" w:before="0" w:after="0"/>
        <w:ind w:left="767" w:right="0" w:hanging="529"/>
        <w:jc w:val="both"/>
        <w:rPr>
          <w:sz w:val="21"/>
        </w:rPr>
      </w:pPr>
      <w:r>
        <w:rPr>
          <w:spacing w:val="-5"/>
          <w:sz w:val="21"/>
        </w:rPr>
        <w:t>总胆红素和直接胆红素同时升高，血清 </w:t>
      </w:r>
      <w:r>
        <w:rPr>
          <w:spacing w:val="-2"/>
          <w:sz w:val="21"/>
        </w:rPr>
        <w:t>ALP&gt;200U/L；</w:t>
      </w:r>
    </w:p>
    <w:p>
      <w:pPr>
        <w:pStyle w:val="ListParagraph"/>
        <w:numPr>
          <w:ilvl w:val="0"/>
          <w:numId w:val="31"/>
        </w:numPr>
        <w:tabs>
          <w:tab w:pos="767" w:val="left" w:leader="none"/>
        </w:tabs>
        <w:spacing w:line="240" w:lineRule="auto" w:before="43" w:after="0"/>
        <w:ind w:left="767" w:right="0" w:hanging="529"/>
        <w:jc w:val="left"/>
        <w:rPr>
          <w:sz w:val="21"/>
        </w:rPr>
      </w:pPr>
      <w:r>
        <w:rPr>
          <w:spacing w:val="-4"/>
          <w:sz w:val="21"/>
        </w:rPr>
        <w:t>持续性黄疸病史；</w:t>
      </w:r>
    </w:p>
    <w:p>
      <w:pPr>
        <w:pStyle w:val="ListParagraph"/>
        <w:numPr>
          <w:ilvl w:val="0"/>
          <w:numId w:val="31"/>
        </w:numPr>
        <w:tabs>
          <w:tab w:pos="767" w:val="left" w:leader="none"/>
        </w:tabs>
        <w:spacing w:line="240" w:lineRule="auto" w:before="43" w:after="0"/>
        <w:ind w:left="767" w:right="0" w:hanging="529"/>
        <w:jc w:val="left"/>
        <w:rPr>
          <w:sz w:val="21"/>
        </w:rPr>
      </w:pPr>
      <w:r>
        <w:rPr>
          <w:spacing w:val="-3"/>
          <w:sz w:val="21"/>
        </w:rPr>
        <w:t>出现胆汁性肝硬化或门脉高压。</w:t>
      </w:r>
    </w:p>
    <w:p>
      <w:pPr>
        <w:pStyle w:val="Heading5"/>
        <w:spacing w:line="278" w:lineRule="auto" w:before="43"/>
        <w:ind w:right="4172"/>
      </w:pPr>
      <w:r>
        <w:rPr>
          <w:spacing w:val="-2"/>
        </w:rPr>
        <w:t>因肿瘤或胆管损伤等继发性的硬化性胆管炎不在保障范围内。</w:t>
      </w:r>
      <w:r>
        <w:rPr>
          <w:spacing w:val="-2"/>
        </w:rPr>
        <w:t>三十五、特发性慢性肾上腺皮质功能减退</w:t>
      </w:r>
    </w:p>
    <w:p>
      <w:pPr>
        <w:pStyle w:val="BodyText"/>
        <w:spacing w:line="278" w:lineRule="auto"/>
        <w:ind w:right="1549"/>
      </w:pPr>
      <w:r>
        <w:rPr>
          <w:spacing w:val="-4"/>
        </w:rPr>
        <w:t>因为自身免疫功能紊乱，使肾上腺组织逐渐受损，而需要长期接受糖皮质激素及肾上腺皮质</w:t>
      </w:r>
      <w:r>
        <w:rPr>
          <w:spacing w:val="-2"/>
        </w:rPr>
        <w:t>激素替代疗法。该病必须经内分泌专科医生确诊，并有以下报告作为证据：</w:t>
      </w:r>
    </w:p>
    <w:p>
      <w:pPr>
        <w:pStyle w:val="ListParagraph"/>
        <w:numPr>
          <w:ilvl w:val="0"/>
          <w:numId w:val="32"/>
        </w:numPr>
        <w:tabs>
          <w:tab w:pos="767" w:val="left" w:leader="none"/>
        </w:tabs>
        <w:spacing w:line="269" w:lineRule="exact" w:before="0" w:after="0"/>
        <w:ind w:left="767" w:right="0" w:hanging="529"/>
        <w:jc w:val="left"/>
        <w:rPr>
          <w:sz w:val="21"/>
        </w:rPr>
      </w:pPr>
      <w:r>
        <w:rPr>
          <w:spacing w:val="-2"/>
          <w:sz w:val="21"/>
        </w:rPr>
        <w:t>促肾上腺皮质激素(ACTH)</w:t>
      </w:r>
      <w:r>
        <w:rPr>
          <w:spacing w:val="-4"/>
          <w:sz w:val="21"/>
        </w:rPr>
        <w:t>刺激试验；</w:t>
      </w:r>
    </w:p>
    <w:p>
      <w:pPr>
        <w:pStyle w:val="ListParagraph"/>
        <w:numPr>
          <w:ilvl w:val="0"/>
          <w:numId w:val="32"/>
        </w:numPr>
        <w:tabs>
          <w:tab w:pos="767" w:val="left" w:leader="none"/>
        </w:tabs>
        <w:spacing w:line="240" w:lineRule="auto" w:before="43" w:after="0"/>
        <w:ind w:left="767" w:right="0" w:hanging="529"/>
        <w:jc w:val="left"/>
        <w:rPr>
          <w:sz w:val="21"/>
        </w:rPr>
      </w:pPr>
      <w:r>
        <w:rPr>
          <w:spacing w:val="-3"/>
          <w:sz w:val="21"/>
        </w:rPr>
        <w:t>胰岛素血糖减少测试；</w:t>
      </w:r>
    </w:p>
    <w:p>
      <w:pPr>
        <w:pStyle w:val="ListParagraph"/>
        <w:numPr>
          <w:ilvl w:val="0"/>
          <w:numId w:val="32"/>
        </w:numPr>
        <w:tabs>
          <w:tab w:pos="767" w:val="left" w:leader="none"/>
        </w:tabs>
        <w:spacing w:line="240" w:lineRule="auto" w:before="43" w:after="0"/>
        <w:ind w:left="767" w:right="0" w:hanging="529"/>
        <w:jc w:val="left"/>
        <w:rPr>
          <w:sz w:val="21"/>
        </w:rPr>
      </w:pPr>
      <w:r>
        <w:rPr>
          <w:spacing w:val="-2"/>
          <w:sz w:val="21"/>
        </w:rPr>
        <w:t>血浆促肾上腺皮质激素(ACTH</w:t>
      </w:r>
      <w:r>
        <w:rPr>
          <w:spacing w:val="-4"/>
          <w:sz w:val="21"/>
        </w:rPr>
        <w:t>)水平测定；</w:t>
      </w:r>
    </w:p>
    <w:p>
      <w:pPr>
        <w:pStyle w:val="ListParagraph"/>
        <w:numPr>
          <w:ilvl w:val="0"/>
          <w:numId w:val="32"/>
        </w:numPr>
        <w:tabs>
          <w:tab w:pos="767" w:val="left" w:leader="none"/>
        </w:tabs>
        <w:spacing w:line="240" w:lineRule="auto" w:before="43" w:after="0"/>
        <w:ind w:left="767" w:right="0" w:hanging="529"/>
        <w:jc w:val="left"/>
        <w:rPr>
          <w:sz w:val="21"/>
        </w:rPr>
      </w:pPr>
      <w:r>
        <w:rPr>
          <w:spacing w:val="-2"/>
          <w:sz w:val="21"/>
        </w:rPr>
        <w:t>血浆肾素活性(PRA</w:t>
      </w:r>
      <w:r>
        <w:rPr>
          <w:spacing w:val="-4"/>
          <w:sz w:val="21"/>
        </w:rPr>
        <w:t>)测定。</w:t>
      </w:r>
    </w:p>
    <w:p>
      <w:pPr>
        <w:pStyle w:val="Heading5"/>
        <w:spacing w:line="278" w:lineRule="auto" w:before="43"/>
        <w:ind w:right="1643"/>
      </w:pPr>
      <w:r>
        <w:rPr>
          <w:spacing w:val="-2"/>
        </w:rPr>
        <w:t>慢性肾上腺皮质功能衰竭只对由自身免疫功能紊乱引起的承担保险责任，其他原因引起的</w:t>
      </w:r>
      <w:r>
        <w:rPr>
          <w:spacing w:val="-2"/>
        </w:rPr>
        <w:t>不在保障范围内。</w:t>
      </w:r>
    </w:p>
    <w:p>
      <w:pPr>
        <w:spacing w:line="269" w:lineRule="exact" w:before="0"/>
        <w:ind w:left="238" w:right="0" w:firstLine="0"/>
        <w:jc w:val="left"/>
        <w:rPr>
          <w:b/>
          <w:sz w:val="21"/>
        </w:rPr>
      </w:pPr>
      <w:r>
        <w:rPr>
          <w:b/>
          <w:spacing w:val="-2"/>
          <w:sz w:val="21"/>
        </w:rPr>
        <w:t>三十六、系统性红斑狼疮——（并发）Ⅲ</w:t>
      </w:r>
      <w:r>
        <w:rPr>
          <w:b/>
          <w:spacing w:val="-3"/>
          <w:sz w:val="21"/>
        </w:rPr>
        <w:t>型或以上狼疮性肾炎</w:t>
      </w:r>
    </w:p>
    <w:p>
      <w:pPr>
        <w:pStyle w:val="BodyText"/>
        <w:spacing w:line="278" w:lineRule="auto" w:before="43"/>
        <w:ind w:right="1549"/>
      </w:pPr>
      <w:r>
        <w:rPr>
          <w:spacing w:val="-4"/>
        </w:rPr>
        <w:t>系统性红斑狼疮是由多种因素引起，累及多系统的自身免疫性疾病。其特点是生成自身抗体</w:t>
      </w:r>
      <w:r>
        <w:rPr>
          <w:spacing w:val="-2"/>
        </w:rPr>
        <w:t>对抗多种自身抗原。多见于育龄妇女。</w:t>
      </w:r>
    </w:p>
    <w:p>
      <w:pPr>
        <w:spacing w:line="278" w:lineRule="auto" w:before="0"/>
        <w:ind w:left="238" w:right="1549" w:firstLine="0"/>
        <w:jc w:val="both"/>
        <w:rPr>
          <w:b/>
          <w:sz w:val="21"/>
        </w:rPr>
      </w:pPr>
      <w:r>
        <w:rPr>
          <w:spacing w:val="-4"/>
          <w:sz w:val="21"/>
        </w:rPr>
        <w:t>本合同所指的系统性红斑狼疮仅限于累及肾脏</w:t>
      </w:r>
      <w:r>
        <w:rPr>
          <w:b/>
          <w:spacing w:val="-4"/>
          <w:sz w:val="21"/>
        </w:rPr>
        <w:t>（</w:t>
      </w:r>
      <w:r>
        <w:rPr>
          <w:spacing w:val="-6"/>
          <w:sz w:val="21"/>
        </w:rPr>
        <w:t>经肾脏活检确认的，符合 </w:t>
      </w:r>
      <w:r>
        <w:rPr>
          <w:spacing w:val="-4"/>
          <w:sz w:val="21"/>
        </w:rPr>
        <w:t>WHO</w:t>
      </w:r>
      <w:r>
        <w:rPr>
          <w:spacing w:val="-8"/>
          <w:sz w:val="21"/>
        </w:rPr>
        <w:t> 诊断标准定义</w:t>
      </w:r>
      <w:r>
        <w:rPr>
          <w:spacing w:val="-4"/>
          <w:sz w:val="21"/>
        </w:rPr>
        <w:t> Ⅲ型至Ⅴ型狼疮性肾炎</w:t>
      </w:r>
      <w:r>
        <w:rPr>
          <w:b/>
          <w:spacing w:val="-4"/>
          <w:sz w:val="21"/>
        </w:rPr>
        <w:t>）</w:t>
      </w:r>
      <w:r>
        <w:rPr>
          <w:spacing w:val="-4"/>
          <w:sz w:val="21"/>
        </w:rPr>
        <w:t>的系统性红斑狼疮。</w:t>
      </w:r>
      <w:r>
        <w:rPr>
          <w:b/>
          <w:spacing w:val="-4"/>
          <w:sz w:val="21"/>
        </w:rPr>
        <w:t>其他类型的红斑性狼疮，如盘状狼疮、仅累及</w:t>
      </w:r>
      <w:r>
        <w:rPr>
          <w:b/>
          <w:spacing w:val="-2"/>
          <w:sz w:val="21"/>
        </w:rPr>
        <w:t>血液及关节的狼疮不在保障范围內。</w:t>
      </w:r>
    </w:p>
    <w:p>
      <w:pPr>
        <w:pStyle w:val="BodyText"/>
        <w:spacing w:line="269" w:lineRule="exact"/>
      </w:pPr>
      <w:r>
        <w:rPr>
          <w:spacing w:val="-3"/>
        </w:rPr>
        <w:t>本病必须由免疫和风湿科专科医生确诊。</w:t>
      </w:r>
    </w:p>
    <w:p>
      <w:pPr>
        <w:pStyle w:val="BodyText"/>
        <w:spacing w:before="43" w:after="20"/>
      </w:pPr>
      <w:r>
        <w:rPr/>
        <w:t>世界卫生组织（WHO，World</w:t>
      </w:r>
      <w:r>
        <w:rPr>
          <w:spacing w:val="-23"/>
        </w:rPr>
        <w:t> </w:t>
      </w:r>
      <w:r>
        <w:rPr/>
        <w:t>Health</w:t>
      </w:r>
      <w:r>
        <w:rPr>
          <w:spacing w:val="-22"/>
        </w:rPr>
        <w:t> </w:t>
      </w:r>
      <w:r>
        <w:rPr/>
        <w:t>Organization）</w:t>
      </w:r>
      <w:r>
        <w:rPr>
          <w:spacing w:val="-2"/>
        </w:rPr>
        <w:t>狼疮性肾炎分型：</w:t>
      </w:r>
    </w:p>
    <w:tbl>
      <w:tblPr>
        <w:tblW w:w="0" w:type="auto"/>
        <w:jc w:val="left"/>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209"/>
        <w:gridCol w:w="5319"/>
      </w:tblGrid>
      <w:tr>
        <w:trPr>
          <w:trHeight w:val="311" w:hRule="atLeast"/>
        </w:trPr>
        <w:tc>
          <w:tcPr>
            <w:tcW w:w="3209" w:type="dxa"/>
          </w:tcPr>
          <w:p>
            <w:pPr>
              <w:pStyle w:val="TableParagraph"/>
              <w:spacing w:before="22"/>
              <w:rPr>
                <w:sz w:val="21"/>
              </w:rPr>
            </w:pPr>
            <w:r>
              <w:rPr>
                <w:spacing w:val="-2"/>
                <w:sz w:val="21"/>
              </w:rPr>
              <w:t>Ⅰ型（微小病变型</w:t>
            </w:r>
            <w:r>
              <w:rPr>
                <w:spacing w:val="-10"/>
                <w:sz w:val="21"/>
              </w:rPr>
              <w:t>）</w:t>
            </w:r>
          </w:p>
        </w:tc>
        <w:tc>
          <w:tcPr>
            <w:tcW w:w="5319" w:type="dxa"/>
          </w:tcPr>
          <w:p>
            <w:pPr>
              <w:pStyle w:val="TableParagraph"/>
              <w:spacing w:before="22"/>
              <w:ind w:left="105"/>
              <w:rPr>
                <w:sz w:val="21"/>
              </w:rPr>
            </w:pPr>
            <w:r>
              <w:rPr>
                <w:spacing w:val="-3"/>
                <w:sz w:val="21"/>
              </w:rPr>
              <w:t>镜下阴性，尿液正常</w:t>
            </w:r>
          </w:p>
        </w:tc>
      </w:tr>
      <w:tr>
        <w:trPr>
          <w:trHeight w:val="323" w:hRule="atLeast"/>
        </w:trPr>
        <w:tc>
          <w:tcPr>
            <w:tcW w:w="3209" w:type="dxa"/>
          </w:tcPr>
          <w:p>
            <w:pPr>
              <w:pStyle w:val="TableParagraph"/>
              <w:spacing w:before="22"/>
              <w:rPr>
                <w:sz w:val="21"/>
              </w:rPr>
            </w:pPr>
            <w:r>
              <w:rPr>
                <w:spacing w:val="-2"/>
                <w:sz w:val="21"/>
              </w:rPr>
              <w:t>Ⅱ型（系膜病变型</w:t>
            </w:r>
            <w:r>
              <w:rPr>
                <w:spacing w:val="-10"/>
                <w:sz w:val="21"/>
              </w:rPr>
              <w:t>）</w:t>
            </w:r>
          </w:p>
        </w:tc>
        <w:tc>
          <w:tcPr>
            <w:tcW w:w="5319" w:type="dxa"/>
          </w:tcPr>
          <w:p>
            <w:pPr>
              <w:pStyle w:val="TableParagraph"/>
              <w:spacing w:before="22"/>
              <w:ind w:left="105"/>
              <w:rPr>
                <w:sz w:val="21"/>
              </w:rPr>
            </w:pPr>
            <w:r>
              <w:rPr>
                <w:spacing w:val="-3"/>
                <w:sz w:val="21"/>
              </w:rPr>
              <w:t>中度蛋白尿，偶有尿沉渣改变</w:t>
            </w:r>
          </w:p>
        </w:tc>
      </w:tr>
      <w:tr>
        <w:trPr>
          <w:trHeight w:val="311" w:hRule="atLeast"/>
        </w:trPr>
        <w:tc>
          <w:tcPr>
            <w:tcW w:w="3209" w:type="dxa"/>
          </w:tcPr>
          <w:p>
            <w:pPr>
              <w:pStyle w:val="TableParagraph"/>
              <w:spacing w:before="22"/>
              <w:rPr>
                <w:sz w:val="21"/>
              </w:rPr>
            </w:pPr>
            <w:r>
              <w:rPr>
                <w:spacing w:val="-2"/>
                <w:sz w:val="21"/>
              </w:rPr>
              <w:t>Ⅲ型（局灶及节段增生型</w:t>
            </w:r>
            <w:r>
              <w:rPr>
                <w:spacing w:val="-10"/>
                <w:sz w:val="21"/>
              </w:rPr>
              <w:t>）</w:t>
            </w:r>
          </w:p>
        </w:tc>
        <w:tc>
          <w:tcPr>
            <w:tcW w:w="5319" w:type="dxa"/>
          </w:tcPr>
          <w:p>
            <w:pPr>
              <w:pStyle w:val="TableParagraph"/>
              <w:spacing w:before="22"/>
              <w:ind w:left="105"/>
              <w:rPr>
                <w:sz w:val="21"/>
              </w:rPr>
            </w:pPr>
            <w:r>
              <w:rPr>
                <w:spacing w:val="-3"/>
                <w:sz w:val="21"/>
              </w:rPr>
              <w:t>蛋白尿，尿沉渣改变</w:t>
            </w:r>
          </w:p>
        </w:tc>
      </w:tr>
      <w:tr>
        <w:trPr>
          <w:trHeight w:val="326" w:hRule="atLeast"/>
        </w:trPr>
        <w:tc>
          <w:tcPr>
            <w:tcW w:w="3209" w:type="dxa"/>
          </w:tcPr>
          <w:p>
            <w:pPr>
              <w:pStyle w:val="TableParagraph"/>
              <w:spacing w:before="25"/>
              <w:rPr>
                <w:sz w:val="21"/>
              </w:rPr>
            </w:pPr>
            <w:r>
              <w:rPr>
                <w:spacing w:val="-2"/>
                <w:sz w:val="21"/>
              </w:rPr>
              <w:t>Ⅳ型（弥漫增生型</w:t>
            </w:r>
            <w:r>
              <w:rPr>
                <w:spacing w:val="-10"/>
                <w:sz w:val="21"/>
              </w:rPr>
              <w:t>）</w:t>
            </w:r>
          </w:p>
        </w:tc>
        <w:tc>
          <w:tcPr>
            <w:tcW w:w="5319" w:type="dxa"/>
          </w:tcPr>
          <w:p>
            <w:pPr>
              <w:pStyle w:val="TableParagraph"/>
              <w:spacing w:before="25"/>
              <w:ind w:left="105"/>
              <w:rPr>
                <w:sz w:val="21"/>
              </w:rPr>
            </w:pPr>
            <w:r>
              <w:rPr>
                <w:spacing w:val="-3"/>
                <w:sz w:val="21"/>
              </w:rPr>
              <w:t>急性肾炎伴有尿沉渣改变及/或肾病综合征</w:t>
            </w:r>
          </w:p>
        </w:tc>
      </w:tr>
      <w:tr>
        <w:trPr>
          <w:trHeight w:val="323" w:hRule="atLeast"/>
        </w:trPr>
        <w:tc>
          <w:tcPr>
            <w:tcW w:w="3209" w:type="dxa"/>
          </w:tcPr>
          <w:p>
            <w:pPr>
              <w:pStyle w:val="TableParagraph"/>
              <w:spacing w:before="22"/>
              <w:rPr>
                <w:sz w:val="21"/>
              </w:rPr>
            </w:pPr>
            <w:r>
              <w:rPr>
                <w:spacing w:val="-2"/>
                <w:sz w:val="21"/>
              </w:rPr>
              <w:t>Ⅴ型（膜型</w:t>
            </w:r>
            <w:r>
              <w:rPr>
                <w:spacing w:val="-10"/>
                <w:sz w:val="21"/>
              </w:rPr>
              <w:t>）</w:t>
            </w:r>
          </w:p>
        </w:tc>
        <w:tc>
          <w:tcPr>
            <w:tcW w:w="5319" w:type="dxa"/>
          </w:tcPr>
          <w:p>
            <w:pPr>
              <w:pStyle w:val="TableParagraph"/>
              <w:spacing w:before="22"/>
              <w:ind w:left="105"/>
              <w:rPr>
                <w:sz w:val="21"/>
              </w:rPr>
            </w:pPr>
            <w:r>
              <w:rPr>
                <w:spacing w:val="-3"/>
                <w:sz w:val="21"/>
              </w:rPr>
              <w:t>肾病综合征或重度蛋白尿</w:t>
            </w:r>
          </w:p>
        </w:tc>
      </w:tr>
    </w:tbl>
    <w:p>
      <w:pPr>
        <w:pStyle w:val="Heading5"/>
        <w:spacing w:before="24"/>
      </w:pPr>
      <w:r>
        <w:rPr>
          <w:spacing w:val="-3"/>
        </w:rPr>
        <w:t>三十七、严重类风湿性关节炎</w:t>
      </w:r>
    </w:p>
    <w:p>
      <w:pPr>
        <w:pStyle w:val="BodyText"/>
        <w:spacing w:line="278" w:lineRule="auto" w:before="44"/>
        <w:ind w:right="1549"/>
        <w:jc w:val="both"/>
      </w:pPr>
      <w:r>
        <w:rPr>
          <w:spacing w:val="-4"/>
        </w:rPr>
        <w:t>类风湿性关节炎为广泛分布的慢性进行性多关节病变，表现为关节严重变形，侵犯至少三个</w:t>
      </w:r>
      <w:r>
        <w:rPr>
          <w:spacing w:val="-4"/>
        </w:rPr>
        <w:t>主要关节或关节组（如：双手（多手指）关节、双足（多足趾）关节、双腕关节、双膝关节</w:t>
      </w:r>
      <w:r>
        <w:rPr>
          <w:spacing w:val="-2"/>
        </w:rPr>
        <w:t>和双髋关节</w:t>
      </w:r>
      <w:r>
        <w:rPr>
          <w:spacing w:val="-106"/>
        </w:rPr>
        <w:t>）</w:t>
      </w:r>
      <w:r>
        <w:rPr>
          <w:spacing w:val="-2"/>
        </w:rPr>
        <w:t>。类风湿性关节炎必须明确诊断并且已经达到类风湿性关节炎功能分级Ⅲ级以</w:t>
      </w:r>
      <w:r>
        <w:rPr>
          <w:spacing w:val="-4"/>
        </w:rPr>
        <w:t>上的功能障碍（关节活动严重限制，不能完成大部分的日常工作和活动）并且满足下列全部</w:t>
      </w:r>
      <w:r>
        <w:rPr>
          <w:spacing w:val="-4"/>
        </w:rPr>
        <w:t>条件：</w:t>
      </w:r>
    </w:p>
    <w:p>
      <w:pPr>
        <w:pStyle w:val="BodyText"/>
        <w:spacing w:line="268" w:lineRule="exact"/>
      </w:pPr>
      <w:r>
        <w:rPr>
          <w:spacing w:val="-2"/>
        </w:rPr>
        <w:t>（1）</w:t>
      </w:r>
      <w:r>
        <w:rPr>
          <w:spacing w:val="-5"/>
        </w:rPr>
        <w:t>晨僵；</w:t>
      </w:r>
    </w:p>
    <w:p>
      <w:pPr>
        <w:pStyle w:val="ListParagraph"/>
        <w:numPr>
          <w:ilvl w:val="0"/>
          <w:numId w:val="33"/>
        </w:numPr>
        <w:tabs>
          <w:tab w:pos="767" w:val="left" w:leader="none"/>
        </w:tabs>
        <w:spacing w:line="240" w:lineRule="auto" w:before="43" w:after="0"/>
        <w:ind w:left="767" w:right="0" w:hanging="529"/>
        <w:jc w:val="left"/>
        <w:rPr>
          <w:sz w:val="21"/>
        </w:rPr>
      </w:pPr>
      <w:r>
        <w:rPr>
          <w:spacing w:val="-4"/>
          <w:sz w:val="21"/>
        </w:rPr>
        <w:t>对称性关节炎；</w:t>
      </w:r>
    </w:p>
    <w:p>
      <w:pPr>
        <w:spacing w:after="0" w:line="240" w:lineRule="auto"/>
        <w:jc w:val="left"/>
        <w:rPr>
          <w:sz w:val="21"/>
        </w:rPr>
        <w:sectPr>
          <w:pgSz w:w="11910" w:h="16840"/>
          <w:pgMar w:header="0" w:footer="1005" w:top="1400" w:bottom="1200" w:left="1560" w:right="240"/>
        </w:sectPr>
      </w:pPr>
    </w:p>
    <w:p>
      <w:pPr>
        <w:pStyle w:val="ListParagraph"/>
        <w:numPr>
          <w:ilvl w:val="0"/>
          <w:numId w:val="33"/>
        </w:numPr>
        <w:tabs>
          <w:tab w:pos="767" w:val="left" w:leader="none"/>
        </w:tabs>
        <w:spacing w:line="240" w:lineRule="auto" w:before="44" w:after="0"/>
        <w:ind w:left="767" w:right="0" w:hanging="529"/>
        <w:jc w:val="left"/>
        <w:rPr>
          <w:sz w:val="21"/>
        </w:rPr>
      </w:pPr>
      <w:r>
        <w:rPr>
          <w:spacing w:val="-3"/>
          <w:sz w:val="21"/>
        </w:rPr>
        <w:t>类风湿性皮下结节；</w:t>
      </w:r>
    </w:p>
    <w:p>
      <w:pPr>
        <w:pStyle w:val="ListParagraph"/>
        <w:numPr>
          <w:ilvl w:val="0"/>
          <w:numId w:val="33"/>
        </w:numPr>
        <w:tabs>
          <w:tab w:pos="767" w:val="left" w:leader="none"/>
        </w:tabs>
        <w:spacing w:line="240" w:lineRule="auto" w:before="43" w:after="0"/>
        <w:ind w:left="767" w:right="0" w:hanging="529"/>
        <w:jc w:val="left"/>
        <w:rPr>
          <w:sz w:val="21"/>
        </w:rPr>
      </w:pPr>
      <w:r>
        <w:rPr>
          <w:spacing w:val="-3"/>
          <w:sz w:val="21"/>
        </w:rPr>
        <w:t>类风湿因子滴度升高。</w:t>
      </w:r>
    </w:p>
    <w:p>
      <w:pPr>
        <w:pStyle w:val="Heading5"/>
        <w:spacing w:before="43"/>
      </w:pPr>
      <w:r>
        <w:rPr>
          <w:spacing w:val="-3"/>
        </w:rPr>
        <w:t>三十八、重症急性坏死性筋膜炎</w:t>
      </w:r>
    </w:p>
    <w:p>
      <w:pPr>
        <w:pStyle w:val="BodyText"/>
        <w:spacing w:before="43"/>
      </w:pPr>
      <w:r>
        <w:rPr>
          <w:spacing w:val="-3"/>
        </w:rPr>
        <w:t>重症急性坏死性筋膜炎的诊断须同时符合下列要求：</w:t>
      </w:r>
    </w:p>
    <w:p>
      <w:pPr>
        <w:pStyle w:val="ListParagraph"/>
        <w:numPr>
          <w:ilvl w:val="0"/>
          <w:numId w:val="34"/>
        </w:numPr>
        <w:tabs>
          <w:tab w:pos="767" w:val="left" w:leader="none"/>
        </w:tabs>
        <w:spacing w:line="240" w:lineRule="auto" w:before="43" w:after="0"/>
        <w:ind w:left="767" w:right="0" w:hanging="529"/>
        <w:jc w:val="left"/>
        <w:rPr>
          <w:sz w:val="21"/>
        </w:rPr>
      </w:pPr>
      <w:r>
        <w:rPr>
          <w:spacing w:val="-3"/>
          <w:sz w:val="21"/>
        </w:rPr>
        <w:t>符合坏死性筋膜炎的一般临床表现；</w:t>
      </w:r>
    </w:p>
    <w:p>
      <w:pPr>
        <w:pStyle w:val="ListParagraph"/>
        <w:numPr>
          <w:ilvl w:val="0"/>
          <w:numId w:val="34"/>
        </w:numPr>
        <w:tabs>
          <w:tab w:pos="767" w:val="left" w:leader="none"/>
        </w:tabs>
        <w:spacing w:line="240" w:lineRule="auto" w:before="43" w:after="0"/>
        <w:ind w:left="767" w:right="0" w:hanging="529"/>
        <w:jc w:val="left"/>
        <w:rPr>
          <w:sz w:val="21"/>
        </w:rPr>
      </w:pPr>
      <w:r>
        <w:rPr>
          <w:spacing w:val="-3"/>
          <w:sz w:val="21"/>
        </w:rPr>
        <w:t>细菌培养检出致病菌；</w:t>
      </w:r>
    </w:p>
    <w:p>
      <w:pPr>
        <w:pStyle w:val="ListParagraph"/>
        <w:numPr>
          <w:ilvl w:val="0"/>
          <w:numId w:val="34"/>
        </w:numPr>
        <w:tabs>
          <w:tab w:pos="767" w:val="left" w:leader="none"/>
        </w:tabs>
        <w:spacing w:line="278" w:lineRule="auto" w:before="43" w:after="0"/>
        <w:ind w:left="238" w:right="2405" w:firstLine="0"/>
        <w:jc w:val="left"/>
        <w:rPr>
          <w:sz w:val="21"/>
        </w:rPr>
      </w:pPr>
      <w:r>
        <w:rPr>
          <w:spacing w:val="-2"/>
          <w:sz w:val="21"/>
        </w:rPr>
        <w:t>出现广泛性肌肉及软组织坏死，并导致身体受影响部位永久完全失去功能。</w:t>
      </w:r>
      <w:r>
        <w:rPr>
          <w:spacing w:val="-1"/>
          <w:sz w:val="21"/>
        </w:rPr>
        <w:t>所谓永久完全失去功能是指受影响部位的全部功能完全丧失超过 </w:t>
      </w:r>
      <w:r>
        <w:rPr>
          <w:sz w:val="21"/>
        </w:rPr>
        <w:t>180 天。</w:t>
      </w:r>
    </w:p>
    <w:p>
      <w:pPr>
        <w:pStyle w:val="Heading5"/>
        <w:spacing w:line="269" w:lineRule="exact"/>
      </w:pPr>
      <w:r>
        <w:rPr>
          <w:spacing w:val="-3"/>
        </w:rPr>
        <w:t>三十九、急性坏死性胰腺炎开腹手术</w:t>
      </w:r>
    </w:p>
    <w:p>
      <w:pPr>
        <w:pStyle w:val="BodyText"/>
        <w:spacing w:line="278" w:lineRule="auto" w:before="43"/>
        <w:ind w:right="1549"/>
      </w:pPr>
      <w:r>
        <w:rPr>
          <w:spacing w:val="-4"/>
        </w:rPr>
        <w:t>指被保险人因为急性坏死性胰腺炎已经接受了外科开腹手术治疗，以进行坏死组织清除、坏</w:t>
      </w:r>
      <w:r>
        <w:rPr>
          <w:spacing w:val="-2"/>
        </w:rPr>
        <w:t>死病灶切除或胰腺切除。</w:t>
      </w:r>
    </w:p>
    <w:p>
      <w:pPr>
        <w:pStyle w:val="Heading5"/>
        <w:spacing w:line="278" w:lineRule="auto"/>
        <w:ind w:right="2699"/>
      </w:pPr>
      <w:r>
        <w:rPr>
          <w:spacing w:val="-2"/>
        </w:rPr>
        <w:t>因饮酒所致的急性坏死性胰腺炎或经腹腔镜手术进行的治疗不在保障范围内。</w:t>
      </w:r>
      <w:r>
        <w:rPr>
          <w:spacing w:val="-2"/>
        </w:rPr>
        <w:t>四十、严重系统性硬皮病</w:t>
      </w:r>
    </w:p>
    <w:p>
      <w:pPr>
        <w:pStyle w:val="BodyText"/>
        <w:spacing w:line="278" w:lineRule="auto"/>
        <w:ind w:right="1549"/>
      </w:pPr>
      <w:r>
        <w:rPr>
          <w:spacing w:val="-4"/>
        </w:rPr>
        <w:t>指一种全身性的胶原血管性疾病，可以导致皮肤、血管及内脏器官进行性弥漫性纤维化。诊</w:t>
      </w:r>
      <w:r>
        <w:rPr>
          <w:spacing w:val="-2"/>
        </w:rPr>
        <w:t>断必须经活检及血清学检查证实，疾病必须是全身性，且须满足下列至少一项条件：</w:t>
      </w:r>
    </w:p>
    <w:p>
      <w:pPr>
        <w:pStyle w:val="ListParagraph"/>
        <w:numPr>
          <w:ilvl w:val="0"/>
          <w:numId w:val="35"/>
        </w:numPr>
        <w:tabs>
          <w:tab w:pos="767" w:val="left" w:leader="none"/>
        </w:tabs>
        <w:spacing w:line="269" w:lineRule="exact" w:before="0" w:after="0"/>
        <w:ind w:left="767" w:right="0" w:hanging="529"/>
        <w:jc w:val="left"/>
        <w:rPr>
          <w:sz w:val="21"/>
        </w:rPr>
      </w:pPr>
      <w:r>
        <w:rPr>
          <w:spacing w:val="-3"/>
          <w:sz w:val="21"/>
        </w:rPr>
        <w:t>肺脏：肺部病变进而发展为肺间质纤维化和肺动脉高压；</w:t>
      </w:r>
    </w:p>
    <w:p>
      <w:pPr>
        <w:pStyle w:val="ListParagraph"/>
        <w:numPr>
          <w:ilvl w:val="0"/>
          <w:numId w:val="35"/>
        </w:numPr>
        <w:tabs>
          <w:tab w:pos="767" w:val="left" w:leader="none"/>
        </w:tabs>
        <w:spacing w:line="278" w:lineRule="auto" w:before="43" w:after="0"/>
        <w:ind w:left="238" w:right="1568" w:firstLine="0"/>
        <w:jc w:val="left"/>
        <w:rPr>
          <w:sz w:val="21"/>
        </w:rPr>
      </w:pPr>
      <w:r>
        <w:rPr>
          <w:sz w:val="21"/>
        </w:rPr>
        <w:t>心脏：心功能受损达到美国纽约心脏病学会（New</w:t>
      </w:r>
      <w:r>
        <w:rPr>
          <w:spacing w:val="-12"/>
          <w:sz w:val="21"/>
        </w:rPr>
        <w:t> </w:t>
      </w:r>
      <w:r>
        <w:rPr>
          <w:sz w:val="21"/>
        </w:rPr>
        <w:t>York</w:t>
      </w:r>
      <w:r>
        <w:rPr>
          <w:spacing w:val="-12"/>
          <w:sz w:val="21"/>
        </w:rPr>
        <w:t> </w:t>
      </w:r>
      <w:r>
        <w:rPr>
          <w:sz w:val="21"/>
        </w:rPr>
        <w:t>Heart</w:t>
      </w:r>
      <w:r>
        <w:rPr>
          <w:spacing w:val="-13"/>
          <w:sz w:val="21"/>
        </w:rPr>
        <w:t> </w:t>
      </w:r>
      <w:r>
        <w:rPr>
          <w:sz w:val="21"/>
        </w:rPr>
        <w:t>Association，NYHA）</w:t>
      </w:r>
      <w:r>
        <w:rPr>
          <w:spacing w:val="-2"/>
          <w:sz w:val="21"/>
        </w:rPr>
        <w:t>心功能状态分级Ⅳ级；</w:t>
      </w:r>
    </w:p>
    <w:p>
      <w:pPr>
        <w:pStyle w:val="ListParagraph"/>
        <w:numPr>
          <w:ilvl w:val="0"/>
          <w:numId w:val="35"/>
        </w:numPr>
        <w:tabs>
          <w:tab w:pos="767" w:val="left" w:leader="none"/>
        </w:tabs>
        <w:spacing w:line="278" w:lineRule="auto" w:before="0" w:after="0"/>
        <w:ind w:left="238" w:right="3457" w:firstLine="0"/>
        <w:jc w:val="left"/>
        <w:rPr>
          <w:b/>
          <w:sz w:val="21"/>
        </w:rPr>
      </w:pPr>
      <w:r>
        <w:rPr>
          <w:spacing w:val="-2"/>
          <w:sz w:val="21"/>
        </w:rPr>
        <w:t>肾脏：肾脏受损导致双肾功能慢性不可逆衰竭，达到尿毒症期。</w:t>
      </w:r>
      <w:r>
        <w:rPr>
          <w:b/>
          <w:spacing w:val="-2"/>
          <w:sz w:val="21"/>
        </w:rPr>
        <w:t>以下情况不在保障范围内：</w:t>
      </w:r>
    </w:p>
    <w:p>
      <w:pPr>
        <w:pStyle w:val="ListParagraph"/>
        <w:numPr>
          <w:ilvl w:val="0"/>
          <w:numId w:val="36"/>
        </w:numPr>
        <w:tabs>
          <w:tab w:pos="767" w:val="left" w:leader="none"/>
        </w:tabs>
        <w:spacing w:line="269" w:lineRule="exact" w:before="0" w:after="0"/>
        <w:ind w:left="767" w:right="0" w:hanging="529"/>
        <w:jc w:val="left"/>
        <w:rPr>
          <w:b/>
          <w:sz w:val="21"/>
        </w:rPr>
      </w:pPr>
      <w:r>
        <w:rPr>
          <w:b/>
          <w:spacing w:val="-2"/>
          <w:sz w:val="21"/>
        </w:rPr>
        <w:t>局限性硬皮病（带状硬皮病或斑状损害</w:t>
      </w:r>
      <w:r>
        <w:rPr>
          <w:b/>
          <w:spacing w:val="-111"/>
          <w:sz w:val="21"/>
        </w:rPr>
        <w:t>）</w:t>
      </w:r>
      <w:r>
        <w:rPr>
          <w:b/>
          <w:spacing w:val="-5"/>
          <w:sz w:val="21"/>
        </w:rPr>
        <w:t>；</w:t>
      </w:r>
    </w:p>
    <w:p>
      <w:pPr>
        <w:pStyle w:val="ListParagraph"/>
        <w:numPr>
          <w:ilvl w:val="0"/>
          <w:numId w:val="36"/>
        </w:numPr>
        <w:tabs>
          <w:tab w:pos="767" w:val="left" w:leader="none"/>
        </w:tabs>
        <w:spacing w:line="240" w:lineRule="auto" w:before="43" w:after="0"/>
        <w:ind w:left="767" w:right="0" w:hanging="529"/>
        <w:jc w:val="left"/>
        <w:rPr>
          <w:b/>
          <w:sz w:val="21"/>
        </w:rPr>
      </w:pPr>
      <w:r>
        <w:rPr>
          <w:b/>
          <w:spacing w:val="-2"/>
          <w:sz w:val="21"/>
        </w:rPr>
        <w:t>嗜酸性筋膜炎；</w:t>
      </w:r>
    </w:p>
    <w:p>
      <w:pPr>
        <w:pStyle w:val="ListParagraph"/>
        <w:numPr>
          <w:ilvl w:val="0"/>
          <w:numId w:val="36"/>
        </w:numPr>
        <w:tabs>
          <w:tab w:pos="767" w:val="left" w:leader="none"/>
        </w:tabs>
        <w:spacing w:line="240" w:lineRule="auto" w:before="43" w:after="0"/>
        <w:ind w:left="767" w:right="0" w:hanging="529"/>
        <w:jc w:val="left"/>
        <w:rPr>
          <w:b/>
          <w:sz w:val="21"/>
        </w:rPr>
      </w:pPr>
      <w:r>
        <w:rPr>
          <w:b/>
          <w:w w:val="95"/>
          <w:sz w:val="21"/>
        </w:rPr>
        <w:t>CREST</w:t>
      </w:r>
      <w:r>
        <w:rPr>
          <w:b/>
          <w:spacing w:val="-2"/>
          <w:sz w:val="21"/>
        </w:rPr>
        <w:t> </w:t>
      </w:r>
      <w:r>
        <w:rPr>
          <w:b/>
          <w:w w:val="95"/>
          <w:sz w:val="21"/>
        </w:rPr>
        <w:t>综</w:t>
      </w:r>
      <w:r>
        <w:rPr>
          <w:b/>
          <w:w w:val="95"/>
          <w:sz w:val="21"/>
        </w:rPr>
        <w:t>合</w:t>
      </w:r>
      <w:r>
        <w:rPr>
          <w:b/>
          <w:w w:val="95"/>
          <w:sz w:val="21"/>
        </w:rPr>
        <w:t>征</w:t>
      </w:r>
      <w:r>
        <w:rPr>
          <w:b/>
          <w:spacing w:val="-10"/>
          <w:w w:val="95"/>
          <w:sz w:val="21"/>
        </w:rPr>
        <w:t>。</w:t>
      </w:r>
    </w:p>
    <w:p>
      <w:pPr>
        <w:spacing w:before="43"/>
        <w:ind w:left="238" w:right="0" w:firstLine="0"/>
        <w:jc w:val="left"/>
        <w:rPr>
          <w:b/>
          <w:sz w:val="21"/>
        </w:rPr>
      </w:pPr>
      <w:r>
        <w:rPr>
          <w:b/>
          <w:spacing w:val="-3"/>
          <w:sz w:val="21"/>
        </w:rPr>
        <w:t>四十一、慢性复发性胰腺炎</w:t>
      </w:r>
    </w:p>
    <w:p>
      <w:pPr>
        <w:pStyle w:val="BodyText"/>
        <w:spacing w:line="278" w:lineRule="auto" w:before="43"/>
        <w:ind w:right="1549"/>
      </w:pPr>
      <w:r>
        <w:rPr>
          <w:spacing w:val="-4"/>
        </w:rPr>
        <w:t>胰腺炎反复发作超过三次以上并导致胰腺功能紊乱和营养不良，需要接受酶替代治疗。诊断</w:t>
      </w:r>
      <w:r>
        <w:rPr>
          <w:spacing w:val="-2"/>
        </w:rPr>
        <w:t>必须有消化科专科医生确认并且有内窥镜逆行胰胆管造影所证实。</w:t>
      </w:r>
    </w:p>
    <w:p>
      <w:pPr>
        <w:pStyle w:val="Heading5"/>
        <w:spacing w:line="278" w:lineRule="auto"/>
        <w:ind w:right="5226"/>
      </w:pPr>
      <w:r>
        <w:rPr>
          <w:spacing w:val="-2"/>
        </w:rPr>
        <w:t>因酒精所致的慢性复发性胰腺炎不在保障范围内。</w:t>
      </w:r>
      <w:r>
        <w:rPr>
          <w:spacing w:val="-2"/>
        </w:rPr>
        <w:t>四十二、严重肌营养不良症</w:t>
      </w:r>
    </w:p>
    <w:p>
      <w:pPr>
        <w:pStyle w:val="BodyText"/>
        <w:spacing w:line="278" w:lineRule="auto"/>
        <w:ind w:right="1549"/>
      </w:pPr>
      <w:r>
        <w:rPr>
          <w:spacing w:val="-4"/>
        </w:rPr>
        <w:t>指一组原发于肌肉的遗传性疾病，临床表现为与神经系统无关的肌肉无力和肌肉萎缩。须满</w:t>
      </w:r>
      <w:r>
        <w:rPr>
          <w:spacing w:val="-2"/>
        </w:rPr>
        <w:t>足下列全部条件：</w:t>
      </w:r>
    </w:p>
    <w:p>
      <w:pPr>
        <w:pStyle w:val="ListParagraph"/>
        <w:numPr>
          <w:ilvl w:val="0"/>
          <w:numId w:val="37"/>
        </w:numPr>
        <w:tabs>
          <w:tab w:pos="767" w:val="left" w:leader="none"/>
        </w:tabs>
        <w:spacing w:line="269" w:lineRule="exact" w:before="0" w:after="0"/>
        <w:ind w:left="767" w:right="0" w:hanging="529"/>
        <w:jc w:val="left"/>
        <w:rPr>
          <w:sz w:val="21"/>
        </w:rPr>
      </w:pPr>
      <w:r>
        <w:rPr>
          <w:spacing w:val="-3"/>
          <w:sz w:val="21"/>
        </w:rPr>
        <w:t>肌肉组织活检结果满足肌营养不良症的肌肉细胞变性、坏死等阳性改变；</w:t>
      </w:r>
    </w:p>
    <w:p>
      <w:pPr>
        <w:pStyle w:val="ListParagraph"/>
        <w:numPr>
          <w:ilvl w:val="0"/>
          <w:numId w:val="37"/>
        </w:numPr>
        <w:tabs>
          <w:tab w:pos="767" w:val="left" w:leader="none"/>
        </w:tabs>
        <w:spacing w:line="278" w:lineRule="auto" w:before="43" w:after="0"/>
        <w:ind w:left="238" w:right="1565" w:firstLine="0"/>
        <w:jc w:val="left"/>
        <w:rPr>
          <w:b/>
          <w:sz w:val="21"/>
        </w:rPr>
      </w:pPr>
      <w:r>
        <w:rPr>
          <w:spacing w:val="-2"/>
          <w:sz w:val="21"/>
        </w:rPr>
        <w:t>自主生活能力完全丧失，无法独立完成六项基本日常生活活动中的三项或三项以上。</w:t>
      </w:r>
      <w:r>
        <w:rPr>
          <w:b/>
          <w:spacing w:val="-2"/>
          <w:sz w:val="21"/>
        </w:rPr>
        <w:t>本公司承担本项疾病责任不受本合同责任免除中“遗传性疾病，先天性畸形、变形或染色</w:t>
      </w:r>
      <w:r>
        <w:rPr>
          <w:b/>
          <w:spacing w:val="-2"/>
          <w:sz w:val="21"/>
        </w:rPr>
        <w:t>体异常”的限制。</w:t>
      </w:r>
    </w:p>
    <w:p>
      <w:pPr>
        <w:pStyle w:val="Heading5"/>
        <w:spacing w:line="269" w:lineRule="exact"/>
      </w:pPr>
      <w:r>
        <w:rPr>
          <w:spacing w:val="-3"/>
        </w:rPr>
        <w:t>四十三、严重气性坏疽</w:t>
      </w:r>
    </w:p>
    <w:p>
      <w:pPr>
        <w:pStyle w:val="BodyText"/>
        <w:spacing w:line="278" w:lineRule="auto" w:before="43"/>
        <w:ind w:right="1549"/>
      </w:pPr>
      <w:r>
        <w:rPr>
          <w:spacing w:val="-4"/>
        </w:rPr>
        <w:t>指由梭状芽胞杆菌所致的肌坏死或肌炎。须经本公司认可的医院的专科医生明确诊断，且须</w:t>
      </w:r>
      <w:r>
        <w:rPr>
          <w:spacing w:val="-2"/>
        </w:rPr>
        <w:t>满足下列全部条件：</w:t>
      </w:r>
    </w:p>
    <w:p>
      <w:pPr>
        <w:pStyle w:val="ListParagraph"/>
        <w:numPr>
          <w:ilvl w:val="0"/>
          <w:numId w:val="38"/>
        </w:numPr>
        <w:tabs>
          <w:tab w:pos="767" w:val="left" w:leader="none"/>
        </w:tabs>
        <w:spacing w:line="240" w:lineRule="auto" w:before="0" w:after="0"/>
        <w:ind w:left="767" w:right="0" w:hanging="529"/>
        <w:jc w:val="left"/>
        <w:rPr>
          <w:sz w:val="21"/>
        </w:rPr>
      </w:pPr>
      <w:r>
        <w:rPr>
          <w:spacing w:val="-3"/>
          <w:sz w:val="21"/>
        </w:rPr>
        <w:t>符合气性坏疽的一般临床表现；</w:t>
      </w:r>
    </w:p>
    <w:p>
      <w:pPr>
        <w:pStyle w:val="ListParagraph"/>
        <w:numPr>
          <w:ilvl w:val="0"/>
          <w:numId w:val="38"/>
        </w:numPr>
        <w:tabs>
          <w:tab w:pos="767" w:val="left" w:leader="none"/>
        </w:tabs>
        <w:spacing w:line="240" w:lineRule="auto" w:before="43" w:after="0"/>
        <w:ind w:left="767" w:right="0" w:hanging="529"/>
        <w:jc w:val="left"/>
        <w:rPr>
          <w:sz w:val="21"/>
        </w:rPr>
      </w:pPr>
      <w:r>
        <w:rPr>
          <w:spacing w:val="-3"/>
          <w:sz w:val="21"/>
        </w:rPr>
        <w:t>细菌培养检出致病菌；</w:t>
      </w:r>
    </w:p>
    <w:p>
      <w:pPr>
        <w:pStyle w:val="ListParagraph"/>
        <w:numPr>
          <w:ilvl w:val="0"/>
          <w:numId w:val="38"/>
        </w:numPr>
        <w:tabs>
          <w:tab w:pos="767" w:val="left" w:leader="none"/>
        </w:tabs>
        <w:spacing w:line="278" w:lineRule="auto" w:before="43" w:after="0"/>
        <w:ind w:left="238" w:right="5034" w:firstLine="0"/>
        <w:jc w:val="left"/>
        <w:rPr>
          <w:b/>
          <w:sz w:val="21"/>
        </w:rPr>
      </w:pPr>
      <w:r>
        <w:rPr>
          <w:spacing w:val="-2"/>
          <w:sz w:val="21"/>
        </w:rPr>
        <w:t>受感染肢体被截肢（自腕关节或踝关节近端</w:t>
      </w:r>
      <w:r>
        <w:rPr>
          <w:spacing w:val="-108"/>
          <w:sz w:val="21"/>
        </w:rPr>
        <w:t>）</w:t>
      </w:r>
      <w:r>
        <w:rPr>
          <w:spacing w:val="-2"/>
          <w:sz w:val="21"/>
        </w:rPr>
        <w:t>。</w:t>
      </w:r>
      <w:r>
        <w:rPr>
          <w:b/>
          <w:spacing w:val="-2"/>
          <w:sz w:val="21"/>
        </w:rPr>
        <w:t>清创术不在保障范围内。</w:t>
      </w:r>
    </w:p>
    <w:p>
      <w:pPr>
        <w:pStyle w:val="Heading5"/>
        <w:spacing w:line="269" w:lineRule="exact"/>
      </w:pPr>
      <w:r>
        <w:rPr>
          <w:w w:val="95"/>
        </w:rPr>
        <w:t>四</w:t>
      </w:r>
      <w:r>
        <w:rPr>
          <w:w w:val="95"/>
        </w:rPr>
        <w:t>十</w:t>
      </w:r>
      <w:r>
        <w:rPr>
          <w:w w:val="95"/>
        </w:rPr>
        <w:t>四</w:t>
      </w:r>
      <w:r>
        <w:rPr>
          <w:w w:val="95"/>
        </w:rPr>
        <w:t>、</w:t>
      </w:r>
      <w:r>
        <w:rPr>
          <w:w w:val="95"/>
        </w:rPr>
        <w:t>因</w:t>
      </w:r>
      <w:r>
        <w:rPr>
          <w:w w:val="95"/>
        </w:rPr>
        <w:t>职</w:t>
      </w:r>
      <w:r>
        <w:rPr>
          <w:w w:val="95"/>
        </w:rPr>
        <w:t>业</w:t>
      </w:r>
      <w:r>
        <w:rPr>
          <w:w w:val="95"/>
        </w:rPr>
        <w:t>关</w:t>
      </w:r>
      <w:r>
        <w:rPr>
          <w:w w:val="95"/>
        </w:rPr>
        <w:t>系导致</w:t>
      </w:r>
      <w:r>
        <w:rPr>
          <w:w w:val="95"/>
        </w:rPr>
        <w:t>的</w:t>
      </w:r>
      <w:r>
        <w:rPr>
          <w:w w:val="95"/>
        </w:rPr>
        <w:t>人</w:t>
      </w:r>
      <w:r>
        <w:rPr>
          <w:w w:val="95"/>
        </w:rPr>
        <w:t>类</w:t>
      </w:r>
      <w:r>
        <w:rPr>
          <w:w w:val="95"/>
        </w:rPr>
        <w:t>免</w:t>
      </w:r>
      <w:r>
        <w:rPr>
          <w:w w:val="95"/>
        </w:rPr>
        <w:t>疫</w:t>
      </w:r>
      <w:r>
        <w:rPr>
          <w:w w:val="95"/>
        </w:rPr>
        <w:t>缺</w:t>
      </w:r>
      <w:r>
        <w:rPr>
          <w:w w:val="95"/>
        </w:rPr>
        <w:t>陷</w:t>
      </w:r>
      <w:r>
        <w:rPr>
          <w:w w:val="95"/>
        </w:rPr>
        <w:t>病</w:t>
      </w:r>
      <w:r>
        <w:rPr>
          <w:w w:val="95"/>
        </w:rPr>
        <w:t>毒（HIV）</w:t>
      </w:r>
      <w:r>
        <w:rPr>
          <w:w w:val="95"/>
        </w:rPr>
        <w:t>感</w:t>
      </w:r>
      <w:r>
        <w:rPr>
          <w:spacing w:val="-10"/>
          <w:w w:val="95"/>
        </w:rPr>
        <w:t>染</w:t>
      </w:r>
    </w:p>
    <w:p>
      <w:pPr>
        <w:pStyle w:val="BodyText"/>
        <w:spacing w:line="278" w:lineRule="auto" w:before="43"/>
        <w:ind w:right="1549"/>
      </w:pPr>
      <w:r>
        <w:rPr>
          <w:spacing w:val="-7"/>
        </w:rPr>
        <w:t>被保险人在其常规职业工作过程中遭遇外伤，或职业需要处理血液或其他体液时感染上人类</w:t>
      </w:r>
      <w:r>
        <w:rPr>
          <w:spacing w:val="-2"/>
        </w:rPr>
        <w:t>免疫缺陷病毒</w:t>
      </w:r>
      <w:r>
        <w:rPr>
          <w:spacing w:val="17"/>
        </w:rPr>
        <w:t>（</w:t>
      </w:r>
      <w:r>
        <w:rPr>
          <w:spacing w:val="20"/>
        </w:rPr>
        <w:t>HIV</w:t>
      </w:r>
      <w:r>
        <w:rPr>
          <w:spacing w:val="-88"/>
        </w:rPr>
        <w:t>）</w:t>
      </w:r>
      <w:r>
        <w:rPr>
          <w:spacing w:val="-2"/>
        </w:rPr>
        <w:t>。必须满足下列全部条件：</w:t>
      </w:r>
    </w:p>
    <w:p>
      <w:pPr>
        <w:spacing w:after="0" w:line="278" w:lineRule="auto"/>
        <w:sectPr>
          <w:pgSz w:w="11910" w:h="16840"/>
          <w:pgMar w:header="0" w:footer="1005" w:top="1400" w:bottom="1200" w:left="1560" w:right="240"/>
        </w:sectPr>
      </w:pPr>
    </w:p>
    <w:p>
      <w:pPr>
        <w:pStyle w:val="ListParagraph"/>
        <w:numPr>
          <w:ilvl w:val="0"/>
          <w:numId w:val="39"/>
        </w:numPr>
        <w:tabs>
          <w:tab w:pos="767" w:val="left" w:leader="none"/>
        </w:tabs>
        <w:spacing w:line="278" w:lineRule="auto" w:before="44" w:after="0"/>
        <w:ind w:left="238" w:right="1565" w:firstLine="0"/>
        <w:jc w:val="left"/>
        <w:rPr>
          <w:sz w:val="21"/>
        </w:rPr>
      </w:pPr>
      <w:r>
        <w:rPr>
          <w:spacing w:val="-2"/>
          <w:sz w:val="21"/>
        </w:rPr>
        <w:t>感染必须是在被保险人正在从事其职业工作中发生，该职业必须属于下列限定职业范</w:t>
      </w:r>
      <w:r>
        <w:rPr>
          <w:spacing w:val="-2"/>
          <w:sz w:val="21"/>
        </w:rPr>
        <w:t>围内的职业；</w:t>
      </w:r>
    </w:p>
    <w:p>
      <w:pPr>
        <w:pStyle w:val="ListParagraph"/>
        <w:numPr>
          <w:ilvl w:val="0"/>
          <w:numId w:val="39"/>
        </w:numPr>
        <w:tabs>
          <w:tab w:pos="767" w:val="left" w:leader="none"/>
        </w:tabs>
        <w:spacing w:line="240" w:lineRule="auto" w:before="0" w:after="0"/>
        <w:ind w:left="767" w:right="0" w:hanging="529"/>
        <w:jc w:val="left"/>
        <w:rPr>
          <w:sz w:val="21"/>
        </w:rPr>
      </w:pPr>
      <w:r>
        <w:rPr>
          <w:spacing w:val="-5"/>
          <w:sz w:val="21"/>
        </w:rPr>
        <w:t>血清转化必须出现在事故发生后的 </w:t>
      </w:r>
      <w:r>
        <w:rPr>
          <w:spacing w:val="-2"/>
          <w:sz w:val="21"/>
        </w:rPr>
        <w:t>6</w:t>
      </w:r>
      <w:r>
        <w:rPr>
          <w:spacing w:val="-12"/>
          <w:sz w:val="21"/>
        </w:rPr>
        <w:t> 个月以内；</w:t>
      </w:r>
    </w:p>
    <w:p>
      <w:pPr>
        <w:pStyle w:val="ListParagraph"/>
        <w:numPr>
          <w:ilvl w:val="0"/>
          <w:numId w:val="39"/>
        </w:numPr>
        <w:tabs>
          <w:tab w:pos="767" w:val="left" w:leader="none"/>
        </w:tabs>
        <w:spacing w:line="278" w:lineRule="auto" w:before="43" w:after="0"/>
        <w:ind w:left="238" w:right="1565" w:firstLine="0"/>
        <w:jc w:val="left"/>
        <w:rPr>
          <w:sz w:val="21"/>
        </w:rPr>
      </w:pPr>
      <w:r>
        <w:rPr>
          <w:spacing w:val="-3"/>
          <w:sz w:val="21"/>
        </w:rPr>
        <w:t>必须提供被保险人在所报事故后发生的 </w:t>
      </w:r>
      <w:r>
        <w:rPr>
          <w:sz w:val="21"/>
        </w:rPr>
        <w:t>5</w:t>
      </w:r>
      <w:r>
        <w:rPr>
          <w:spacing w:val="-8"/>
          <w:sz w:val="21"/>
        </w:rPr>
        <w:t> 天以内进行的检查报告，该报告必须显示被</w:t>
      </w:r>
      <w:r>
        <w:rPr>
          <w:spacing w:val="-2"/>
          <w:sz w:val="21"/>
        </w:rPr>
        <w:t>保险人血液人类免疫缺陷病毒（HIV）阴性和/或人类免疫缺陷病毒（HIV）抗体阴性；</w:t>
      </w:r>
    </w:p>
    <w:p>
      <w:pPr>
        <w:pStyle w:val="ListParagraph"/>
        <w:numPr>
          <w:ilvl w:val="0"/>
          <w:numId w:val="39"/>
        </w:numPr>
        <w:tabs>
          <w:tab w:pos="767" w:val="left" w:leader="none"/>
        </w:tabs>
        <w:spacing w:line="278" w:lineRule="auto" w:before="0" w:after="0"/>
        <w:ind w:left="238" w:right="1565" w:firstLine="0"/>
        <w:jc w:val="left"/>
        <w:rPr>
          <w:sz w:val="21"/>
        </w:rPr>
      </w:pPr>
      <w:r>
        <w:rPr>
          <w:spacing w:val="-6"/>
          <w:sz w:val="21"/>
        </w:rPr>
        <w:t>必须在事故发生后的 </w:t>
      </w:r>
      <w:r>
        <w:rPr>
          <w:sz w:val="21"/>
        </w:rPr>
        <w:t>12</w:t>
      </w:r>
      <w:r>
        <w:rPr>
          <w:spacing w:val="-8"/>
          <w:sz w:val="21"/>
        </w:rPr>
        <w:t> 个月内证实被保险人体内存在人类免疫缺陷病毒</w:t>
      </w:r>
      <w:r>
        <w:rPr>
          <w:sz w:val="21"/>
        </w:rPr>
        <w:t>（HIV）或人</w:t>
      </w:r>
      <w:r>
        <w:rPr>
          <w:spacing w:val="-2"/>
          <w:sz w:val="21"/>
        </w:rPr>
        <w:t>类免疫缺陷病毒（HIV）抗体。</w:t>
      </w:r>
    </w:p>
    <w:p>
      <w:pPr>
        <w:pStyle w:val="BodyText"/>
        <w:spacing w:line="269" w:lineRule="exact"/>
      </w:pPr>
      <w:r>
        <w:rPr>
          <w:spacing w:val="-4"/>
        </w:rPr>
        <w:t>限定职业：</w:t>
      </w:r>
    </w:p>
    <w:p>
      <w:pPr>
        <w:pStyle w:val="BodyText"/>
        <w:spacing w:line="278" w:lineRule="auto" w:before="43"/>
        <w:ind w:right="1551"/>
      </w:pPr>
      <w:r>
        <w:rPr>
          <w:spacing w:val="-4"/>
        </w:rPr>
        <w:t>医生和牙科医生、护士、医院化验室工作人员、医院护工、医生助理和牙医助理、救护车工</w:t>
      </w:r>
      <w:r>
        <w:rPr>
          <w:spacing w:val="-2"/>
        </w:rPr>
        <w:t>作人员、助产士、消防队员、警察、狱警。</w:t>
      </w:r>
    </w:p>
    <w:p>
      <w:pPr>
        <w:spacing w:line="278" w:lineRule="auto" w:before="0"/>
        <w:ind w:left="238" w:right="1643" w:firstLine="0"/>
        <w:jc w:val="left"/>
        <w:rPr>
          <w:b/>
          <w:sz w:val="21"/>
        </w:rPr>
      </w:pPr>
      <w:r>
        <w:rPr>
          <w:b/>
          <w:spacing w:val="-2"/>
          <w:sz w:val="21"/>
        </w:rPr>
        <w:t>保险公司必须拥有获得使用被保险人的所有血液样本的权利和能够对这些样本进行独立检</w:t>
      </w:r>
      <w:r>
        <w:rPr>
          <w:b/>
          <w:spacing w:val="-2"/>
          <w:sz w:val="21"/>
        </w:rPr>
        <w:t>验的权利。</w:t>
      </w:r>
    </w:p>
    <w:p>
      <w:pPr>
        <w:spacing w:line="278" w:lineRule="auto" w:before="0"/>
        <w:ind w:left="238" w:right="1552" w:firstLine="0"/>
        <w:jc w:val="left"/>
        <w:rPr>
          <w:b/>
          <w:sz w:val="21"/>
        </w:rPr>
      </w:pPr>
      <w:r>
        <w:rPr>
          <w:b/>
          <w:spacing w:val="-2"/>
          <w:sz w:val="21"/>
        </w:rPr>
        <w:t>在任何治愈艾滋病或阻止人类免疫缺陷病毒（HIV）病毒作用的疗法被发现以后，或能防止</w:t>
      </w:r>
      <w:r>
        <w:rPr>
          <w:b/>
          <w:spacing w:val="-2"/>
          <w:sz w:val="21"/>
        </w:rPr>
        <w:t>艾滋病发生的医疗方法被研究出来以后，本项疾病责任将不再予以赔付。</w:t>
      </w:r>
    </w:p>
    <w:p>
      <w:pPr>
        <w:spacing w:line="278" w:lineRule="auto" w:before="0"/>
        <w:ind w:left="238" w:right="1643" w:firstLine="0"/>
        <w:jc w:val="left"/>
        <w:rPr>
          <w:b/>
          <w:sz w:val="21"/>
        </w:rPr>
      </w:pPr>
      <w:r>
        <w:rPr>
          <w:b/>
          <w:spacing w:val="-2"/>
          <w:sz w:val="21"/>
        </w:rPr>
        <w:t>本公司承担本项疾病责任不受本合同责任免除中“被保险人感染艾滋病病毒或患艾滋病”</w:t>
      </w:r>
      <w:r>
        <w:rPr>
          <w:b/>
          <w:spacing w:val="-4"/>
          <w:sz w:val="21"/>
        </w:rPr>
        <w:t>的限制。</w:t>
      </w:r>
    </w:p>
    <w:p>
      <w:pPr>
        <w:spacing w:line="269" w:lineRule="exact" w:before="0"/>
        <w:ind w:left="238" w:right="0" w:firstLine="0"/>
        <w:jc w:val="left"/>
        <w:rPr>
          <w:b/>
          <w:sz w:val="21"/>
        </w:rPr>
      </w:pPr>
      <w:r>
        <w:rPr>
          <w:b/>
          <w:spacing w:val="-3"/>
          <w:sz w:val="21"/>
        </w:rPr>
        <w:t>四十五、植物人状态</w:t>
      </w:r>
    </w:p>
    <w:p>
      <w:pPr>
        <w:pStyle w:val="BodyText"/>
        <w:spacing w:line="278" w:lineRule="auto" w:before="43"/>
        <w:ind w:right="1565"/>
        <w:jc w:val="both"/>
      </w:pPr>
      <w:r>
        <w:rPr>
          <w:spacing w:val="-2"/>
        </w:rPr>
        <w:t>指脑皮质广泛性坏死而导致对自身及周边的认知能力完全丧失,但脑干功能依然存在。必须</w:t>
      </w:r>
      <w:r>
        <w:rPr>
          <w:spacing w:val="-4"/>
        </w:rPr>
        <w:t>由神经专科医生明确诊断,并有头颅断层扫描</w:t>
      </w:r>
      <w:r>
        <w:rPr>
          <w:spacing w:val="15"/>
        </w:rPr>
        <w:t>（</w:t>
      </w:r>
      <w:r>
        <w:rPr>
          <w:spacing w:val="18"/>
        </w:rPr>
        <w:t>CT</w:t>
      </w:r>
      <w:r>
        <w:rPr>
          <w:spacing w:val="-90"/>
        </w:rPr>
        <w:t>）</w:t>
      </w:r>
      <w:r>
        <w:rPr>
          <w:spacing w:val="-3"/>
        </w:rPr>
        <w:t>，核磁共振检查</w:t>
      </w:r>
      <w:r>
        <w:rPr>
          <w:spacing w:val="-4"/>
        </w:rPr>
        <w:t>（MRI）或正电子发射断</w:t>
      </w:r>
      <w:r>
        <w:rPr>
          <w:spacing w:val="-2"/>
        </w:rPr>
        <w:t>层扫描（PET）等影像学检查证实。</w:t>
      </w:r>
    </w:p>
    <w:p>
      <w:pPr>
        <w:pStyle w:val="Heading5"/>
        <w:spacing w:line="278" w:lineRule="auto"/>
        <w:ind w:right="1643"/>
      </w:pPr>
      <w:r>
        <w:rPr>
          <w:spacing w:val="-2"/>
        </w:rPr>
        <w:t>上述情况必须有至少一个月的病历记录加以证实。由于酗酒或滥用药物所致的植物人状态</w:t>
      </w:r>
      <w:r>
        <w:rPr>
          <w:spacing w:val="-2"/>
        </w:rPr>
        <w:t>不在保障范围内。</w:t>
      </w:r>
    </w:p>
    <w:p>
      <w:pPr>
        <w:spacing w:line="269" w:lineRule="exact" w:before="0"/>
        <w:ind w:left="238" w:right="0" w:firstLine="0"/>
        <w:jc w:val="left"/>
        <w:rPr>
          <w:b/>
          <w:sz w:val="21"/>
        </w:rPr>
      </w:pPr>
      <w:r>
        <w:rPr>
          <w:b/>
          <w:w w:val="95"/>
          <w:sz w:val="21"/>
        </w:rPr>
        <w:t>四</w:t>
      </w:r>
      <w:r>
        <w:rPr>
          <w:b/>
          <w:w w:val="95"/>
          <w:sz w:val="21"/>
        </w:rPr>
        <w:t>十</w:t>
      </w:r>
      <w:r>
        <w:rPr>
          <w:b/>
          <w:w w:val="95"/>
          <w:sz w:val="21"/>
        </w:rPr>
        <w:t>六</w:t>
      </w:r>
      <w:r>
        <w:rPr>
          <w:b/>
          <w:w w:val="95"/>
          <w:sz w:val="21"/>
        </w:rPr>
        <w:t>、</w:t>
      </w:r>
      <w:r>
        <w:rPr>
          <w:b/>
          <w:w w:val="95"/>
          <w:sz w:val="21"/>
        </w:rPr>
        <w:t>严</w:t>
      </w:r>
      <w:r>
        <w:rPr>
          <w:b/>
          <w:w w:val="95"/>
          <w:sz w:val="21"/>
        </w:rPr>
        <w:t>重</w:t>
      </w:r>
      <w:r>
        <w:rPr>
          <w:b/>
          <w:spacing w:val="-5"/>
          <w:sz w:val="21"/>
        </w:rPr>
        <w:t> </w:t>
      </w:r>
      <w:r>
        <w:rPr>
          <w:b/>
          <w:w w:val="95"/>
          <w:sz w:val="21"/>
        </w:rPr>
        <w:t>1</w:t>
      </w:r>
      <w:r>
        <w:rPr>
          <w:b/>
          <w:spacing w:val="-4"/>
          <w:sz w:val="21"/>
        </w:rPr>
        <w:t> </w:t>
      </w:r>
      <w:r>
        <w:rPr>
          <w:b/>
          <w:w w:val="95"/>
          <w:sz w:val="21"/>
        </w:rPr>
        <w:t>型</w:t>
      </w:r>
      <w:r>
        <w:rPr>
          <w:b/>
          <w:w w:val="95"/>
          <w:sz w:val="21"/>
        </w:rPr>
        <w:t>糖</w:t>
      </w:r>
      <w:r>
        <w:rPr>
          <w:b/>
          <w:w w:val="95"/>
          <w:sz w:val="21"/>
        </w:rPr>
        <w:t>尿</w:t>
      </w:r>
      <w:r>
        <w:rPr>
          <w:b/>
          <w:spacing w:val="-10"/>
          <w:w w:val="95"/>
          <w:sz w:val="21"/>
        </w:rPr>
        <w:t>病</w:t>
      </w:r>
    </w:p>
    <w:p>
      <w:pPr>
        <w:pStyle w:val="BodyText"/>
        <w:spacing w:line="278" w:lineRule="auto" w:before="42"/>
        <w:ind w:right="1549"/>
        <w:jc w:val="both"/>
      </w:pPr>
      <w:r>
        <w:rPr>
          <w:spacing w:val="-10"/>
        </w:rPr>
        <w:t>严重 </w:t>
      </w:r>
      <w:r>
        <w:rPr>
          <w:spacing w:val="-2"/>
        </w:rPr>
        <w:t>1</w:t>
      </w:r>
      <w:r>
        <w:rPr>
          <w:spacing w:val="-11"/>
        </w:rPr>
        <w:t> 型糖尿病指由于胰岛素分泌绝对不足引起的慢性血糖升高，且已经持续性地依赖外源</w:t>
      </w:r>
      <w:r>
        <w:rPr>
          <w:w w:val="95"/>
        </w:rPr>
        <w:t>性</w:t>
      </w:r>
      <w:r>
        <w:rPr>
          <w:w w:val="95"/>
        </w:rPr>
        <w:t>胰</w:t>
      </w:r>
      <w:r>
        <w:rPr>
          <w:w w:val="95"/>
        </w:rPr>
        <w:t>岛素维持 180</w:t>
      </w:r>
      <w:r>
        <w:rPr>
          <w:spacing w:val="-1"/>
          <w:w w:val="95"/>
        </w:rPr>
        <w:t> 日以上。须经血胰岛素测定、血 </w:t>
      </w:r>
      <w:r>
        <w:rPr>
          <w:w w:val="95"/>
        </w:rPr>
        <w:t>C 肽测定或尿 C</w:t>
      </w:r>
      <w:r>
        <w:rPr>
          <w:spacing w:val="-2"/>
          <w:w w:val="95"/>
        </w:rPr>
        <w:t> 肽测定，结</w:t>
      </w:r>
      <w:r>
        <w:rPr>
          <w:w w:val="95"/>
        </w:rPr>
        <w:t>果</w:t>
      </w:r>
      <w:r>
        <w:rPr>
          <w:w w:val="95"/>
        </w:rPr>
        <w:t>异</w:t>
      </w:r>
      <w:r>
        <w:rPr>
          <w:w w:val="95"/>
        </w:rPr>
        <w:t>常，</w:t>
      </w:r>
      <w:r>
        <w:rPr>
          <w:w w:val="95"/>
        </w:rPr>
        <w:t>并</w:t>
      </w:r>
      <w:r>
        <w:rPr>
          <w:w w:val="95"/>
        </w:rPr>
        <w:t>由</w:t>
      </w:r>
      <w:r>
        <w:rPr>
          <w:spacing w:val="-1"/>
        </w:rPr>
        <w:t>内分泌科专科医生明确诊断。并须在本合同有效期内，满足下述至少 </w:t>
      </w:r>
      <w:r>
        <w:rPr/>
        <w:t>1</w:t>
      </w:r>
      <w:r>
        <w:rPr>
          <w:spacing w:val="-6"/>
        </w:rPr>
        <w:t> 个条件：</w:t>
      </w:r>
    </w:p>
    <w:p>
      <w:pPr>
        <w:pStyle w:val="ListParagraph"/>
        <w:numPr>
          <w:ilvl w:val="0"/>
          <w:numId w:val="40"/>
        </w:numPr>
        <w:tabs>
          <w:tab w:pos="767" w:val="left" w:leader="none"/>
        </w:tabs>
        <w:spacing w:line="240" w:lineRule="auto" w:before="0" w:after="0"/>
        <w:ind w:left="767" w:right="0" w:hanging="529"/>
        <w:jc w:val="left"/>
        <w:rPr>
          <w:sz w:val="21"/>
        </w:rPr>
      </w:pPr>
      <w:r>
        <w:rPr>
          <w:spacing w:val="-3"/>
          <w:sz w:val="21"/>
        </w:rPr>
        <w:t>已出现增殖性视网膜病变；</w:t>
      </w:r>
    </w:p>
    <w:p>
      <w:pPr>
        <w:pStyle w:val="ListParagraph"/>
        <w:numPr>
          <w:ilvl w:val="0"/>
          <w:numId w:val="40"/>
        </w:numPr>
        <w:tabs>
          <w:tab w:pos="767" w:val="left" w:leader="none"/>
        </w:tabs>
        <w:spacing w:line="240" w:lineRule="auto" w:before="43" w:after="0"/>
        <w:ind w:left="767" w:right="0" w:hanging="529"/>
        <w:jc w:val="left"/>
        <w:rPr>
          <w:sz w:val="21"/>
        </w:rPr>
      </w:pPr>
      <w:r>
        <w:rPr>
          <w:spacing w:val="-3"/>
          <w:sz w:val="21"/>
        </w:rPr>
        <w:t>须植入心脏起搏器治疗心脏病；</w:t>
      </w:r>
    </w:p>
    <w:p>
      <w:pPr>
        <w:pStyle w:val="ListParagraph"/>
        <w:numPr>
          <w:ilvl w:val="0"/>
          <w:numId w:val="40"/>
        </w:numPr>
        <w:tabs>
          <w:tab w:pos="767" w:val="left" w:leader="none"/>
        </w:tabs>
        <w:spacing w:line="278" w:lineRule="auto" w:before="43" w:after="0"/>
        <w:ind w:left="238" w:right="1985" w:firstLine="0"/>
        <w:jc w:val="left"/>
        <w:rPr>
          <w:b/>
          <w:sz w:val="21"/>
        </w:rPr>
      </w:pPr>
      <w:r>
        <w:rPr>
          <w:spacing w:val="-2"/>
          <w:sz w:val="21"/>
        </w:rPr>
        <w:t>在本公司认可医院内已经进行了医疗必须的由足踝或以上位置的单足截除手术。</w:t>
      </w:r>
      <w:r>
        <w:rPr>
          <w:b/>
          <w:spacing w:val="-2"/>
          <w:sz w:val="21"/>
        </w:rPr>
        <w:t>四十七、非阿尔茨海默病所致严重痴呆</w:t>
      </w:r>
    </w:p>
    <w:p>
      <w:pPr>
        <w:pStyle w:val="BodyText"/>
        <w:spacing w:line="278" w:lineRule="auto"/>
        <w:ind w:right="1443"/>
        <w:rPr>
          <w:b/>
        </w:rPr>
      </w:pPr>
      <w:r>
        <w:rPr>
          <w:spacing w:val="-6"/>
          <w:w w:val="100"/>
        </w:rPr>
        <w:t>指因阿尔茨海默病以外的脑的器质性疾病造成脑功能衰竭导致永久不可逆性的严重痴呆，临</w:t>
      </w:r>
      <w:r>
        <w:rPr>
          <w:spacing w:val="-15"/>
          <w:w w:val="100"/>
        </w:rPr>
        <w:t>床表现为明显的认知能力障碍、行为异常和社交能力减退。被保险人自主生活能力完全丧失，</w:t>
      </w:r>
      <w:r>
        <w:rPr>
          <w:w w:val="100"/>
        </w:rPr>
        <w:t>无法独立完成六项基本日常生活活动中的三项或三项以上，日常生活必须持续受到他人监</w:t>
      </w:r>
      <w:r>
        <w:rPr>
          <w:spacing w:val="-3"/>
          <w:w w:val="100"/>
        </w:rPr>
        <w:t>护。导致痴呆的疾病必须明确诊断，并且由完整的临床、实验室和影像学检查结果证实。</w:t>
      </w:r>
      <w:r>
        <w:rPr>
          <w:spacing w:val="-3"/>
          <w:w w:val="100"/>
        </w:rPr>
        <w:t> </w:t>
      </w:r>
      <w:r>
        <w:rPr>
          <w:b/>
          <w:spacing w:val="-3"/>
          <w:w w:val="100"/>
        </w:rPr>
        <w:t>神经官能症和精神疾病不在保障范围内。</w:t>
      </w:r>
    </w:p>
    <w:p>
      <w:pPr>
        <w:pStyle w:val="Heading5"/>
        <w:spacing w:line="268" w:lineRule="exact"/>
      </w:pPr>
      <w:r>
        <w:rPr>
          <w:spacing w:val="-3"/>
        </w:rPr>
        <w:t>四十八、严重冠状动脉粥样硬化性心脏病</w:t>
      </w:r>
    </w:p>
    <w:p>
      <w:pPr>
        <w:pStyle w:val="BodyText"/>
        <w:spacing w:before="43"/>
      </w:pPr>
      <w:r>
        <w:rPr>
          <w:spacing w:val="-3"/>
        </w:rPr>
        <w:t>指经冠状动脉造影检查明确诊断为主要血管严重狭窄性病变，须满足下列至少一项条件：</w:t>
      </w:r>
    </w:p>
    <w:p>
      <w:pPr>
        <w:pStyle w:val="ListParagraph"/>
        <w:numPr>
          <w:ilvl w:val="0"/>
          <w:numId w:val="41"/>
        </w:numPr>
        <w:tabs>
          <w:tab w:pos="767" w:val="left" w:leader="none"/>
        </w:tabs>
        <w:spacing w:line="278" w:lineRule="auto" w:before="44" w:after="0"/>
        <w:ind w:left="238" w:right="1618" w:firstLine="0"/>
        <w:jc w:val="left"/>
        <w:rPr>
          <w:sz w:val="21"/>
        </w:rPr>
      </w:pPr>
      <w:r>
        <w:rPr>
          <w:spacing w:val="-4"/>
          <w:sz w:val="21"/>
        </w:rPr>
        <w:t>左冠状动脉主干和右冠状动脉中，一支血管管腔堵塞 </w:t>
      </w:r>
      <w:r>
        <w:rPr>
          <w:spacing w:val="-2"/>
          <w:sz w:val="21"/>
        </w:rPr>
        <w:t>75%以上，另一支血管管腔堵塞 60%以上；</w:t>
      </w:r>
    </w:p>
    <w:p>
      <w:pPr>
        <w:pStyle w:val="ListParagraph"/>
        <w:numPr>
          <w:ilvl w:val="0"/>
          <w:numId w:val="41"/>
        </w:numPr>
        <w:tabs>
          <w:tab w:pos="767" w:val="left" w:leader="none"/>
        </w:tabs>
        <w:spacing w:line="278" w:lineRule="auto" w:before="0" w:after="0"/>
        <w:ind w:left="238" w:right="1618" w:firstLine="0"/>
        <w:jc w:val="left"/>
        <w:rPr>
          <w:sz w:val="21"/>
        </w:rPr>
      </w:pPr>
      <w:r>
        <w:rPr>
          <w:spacing w:val="-4"/>
          <w:sz w:val="21"/>
        </w:rPr>
        <w:t>左前降支、左旋支和右冠状动脉中，至少一支血管管腔堵塞 </w:t>
      </w:r>
      <w:r>
        <w:rPr>
          <w:spacing w:val="-2"/>
          <w:sz w:val="21"/>
        </w:rPr>
        <w:t>75%以上，其他两支血管</w:t>
      </w:r>
      <w:r>
        <w:rPr>
          <w:spacing w:val="-9"/>
          <w:sz w:val="21"/>
        </w:rPr>
        <w:t>管腔堵塞 </w:t>
      </w:r>
      <w:r>
        <w:rPr>
          <w:sz w:val="21"/>
        </w:rPr>
        <w:t>60%以上。</w:t>
      </w:r>
    </w:p>
    <w:p>
      <w:pPr>
        <w:pStyle w:val="Heading5"/>
        <w:spacing w:line="278" w:lineRule="auto"/>
        <w:ind w:right="1549"/>
      </w:pPr>
      <w:r>
        <w:rPr>
          <w:spacing w:val="-2"/>
        </w:rPr>
        <w:t>左前降支的分支血管、左旋支的分支血管及右冠状动脉的分支血管的狭窄不作为本项疾病</w:t>
      </w:r>
      <w:r>
        <w:rPr>
          <w:spacing w:val="-2"/>
        </w:rPr>
        <w:t>的衡量指标。</w:t>
      </w:r>
    </w:p>
    <w:p>
      <w:pPr>
        <w:spacing w:line="269" w:lineRule="exact" w:before="0"/>
        <w:ind w:left="238" w:right="0" w:firstLine="0"/>
        <w:jc w:val="left"/>
        <w:rPr>
          <w:b/>
          <w:sz w:val="21"/>
        </w:rPr>
      </w:pPr>
      <w:r>
        <w:rPr>
          <w:b/>
          <w:spacing w:val="-3"/>
          <w:sz w:val="21"/>
        </w:rPr>
        <w:t>四十九、严重多发性硬化</w:t>
      </w:r>
    </w:p>
    <w:p>
      <w:pPr>
        <w:spacing w:after="0" w:line="269" w:lineRule="exact"/>
        <w:jc w:val="left"/>
        <w:rPr>
          <w:sz w:val="21"/>
        </w:rPr>
        <w:sectPr>
          <w:pgSz w:w="11910" w:h="16840"/>
          <w:pgMar w:header="0" w:footer="1005" w:top="1400" w:bottom="1200" w:left="1560" w:right="240"/>
        </w:sectPr>
      </w:pPr>
    </w:p>
    <w:p>
      <w:pPr>
        <w:pStyle w:val="BodyText"/>
        <w:spacing w:line="278" w:lineRule="auto" w:before="44"/>
        <w:ind w:right="1549"/>
        <w:jc w:val="both"/>
      </w:pPr>
      <w:r>
        <w:rPr>
          <w:spacing w:val="-4"/>
        </w:rPr>
        <w:t>被保险人因脑及脊髓内的脱髓鞘病变而出现神经系统多灶性（多发性）多时相（</w:t>
      </w:r>
      <w:r>
        <w:rPr>
          <w:spacing w:val="-11"/>
        </w:rPr>
        <w:t>至少 </w:t>
      </w:r>
      <w:r>
        <w:rPr>
          <w:spacing w:val="-4"/>
        </w:rPr>
        <w:t>6</w:t>
      </w:r>
      <w:r>
        <w:rPr>
          <w:spacing w:val="-10"/>
        </w:rPr>
        <w:t> 个月</w:t>
      </w:r>
      <w:r>
        <w:rPr>
          <w:spacing w:val="-4"/>
        </w:rPr>
        <w:t>以内有一次以上（不包含一次）的发作）的病变，须由计算机断层扫描</w:t>
      </w:r>
      <w:r>
        <w:rPr>
          <w:spacing w:val="23"/>
        </w:rPr>
        <w:t>（CT</w:t>
      </w:r>
      <w:r>
        <w:rPr>
          <w:spacing w:val="-85"/>
        </w:rPr>
        <w:t>）</w:t>
      </w:r>
      <w:r>
        <w:rPr>
          <w:spacing w:val="-4"/>
        </w:rPr>
        <w:t>、核磁共振检</w:t>
      </w:r>
      <w:r>
        <w:rPr>
          <w:spacing w:val="-4"/>
        </w:rPr>
        <w:t>查（MRI）或正电子发射断层扫描（PET）等影像学检查证实，且已经造成自主生活能力完全</w:t>
      </w:r>
      <w:r>
        <w:rPr>
          <w:spacing w:val="-1"/>
        </w:rPr>
        <w:t>丧失，无法独立完成六项基本日常生活活动中的三项或三项以上，持续至少 </w:t>
      </w:r>
      <w:r>
        <w:rPr/>
        <w:t>180</w:t>
      </w:r>
      <w:r>
        <w:rPr>
          <w:spacing w:val="-8"/>
        </w:rPr>
        <w:t> 天。</w:t>
      </w:r>
    </w:p>
    <w:p>
      <w:pPr>
        <w:pStyle w:val="Heading5"/>
      </w:pPr>
      <w:r>
        <w:rPr>
          <w:spacing w:val="-2"/>
        </w:rPr>
        <w:t>五十、严重全身性（型）</w:t>
      </w:r>
      <w:r>
        <w:rPr>
          <w:spacing w:val="-4"/>
        </w:rPr>
        <w:t>重症肌无力</w:t>
      </w:r>
    </w:p>
    <w:p>
      <w:pPr>
        <w:pStyle w:val="BodyText"/>
        <w:spacing w:line="278" w:lineRule="auto" w:before="43"/>
        <w:ind w:right="1549"/>
        <w:jc w:val="both"/>
      </w:pPr>
      <w:r>
        <w:rPr>
          <w:spacing w:val="-4"/>
        </w:rPr>
        <w:t>重症肌无力是一种神经肌肉接头传递障碍所致的疾病，表现为局部或全身骨骼肌（特别是眼</w:t>
      </w:r>
      <w:r>
        <w:rPr>
          <w:spacing w:val="-4"/>
        </w:rPr>
        <w:t>外肌）极易疲劳。疾病可以累及呼吸肌、上肢或下肢的近端肌群或全身肌肉，必须满足下列</w:t>
      </w:r>
      <w:r>
        <w:rPr>
          <w:spacing w:val="-2"/>
        </w:rPr>
        <w:t>全部条件：</w:t>
      </w:r>
    </w:p>
    <w:p>
      <w:pPr>
        <w:pStyle w:val="ListParagraph"/>
        <w:numPr>
          <w:ilvl w:val="0"/>
          <w:numId w:val="42"/>
        </w:numPr>
        <w:tabs>
          <w:tab w:pos="767" w:val="left" w:leader="none"/>
        </w:tabs>
        <w:spacing w:line="269" w:lineRule="exact" w:before="0" w:after="0"/>
        <w:ind w:left="767" w:right="0" w:hanging="529"/>
        <w:jc w:val="left"/>
        <w:rPr>
          <w:sz w:val="21"/>
        </w:rPr>
      </w:pPr>
      <w:r>
        <w:rPr>
          <w:spacing w:val="-3"/>
          <w:sz w:val="21"/>
        </w:rPr>
        <w:t>经药物治疗和胸腺切除治疗一年以上仍无法控制病情；</w:t>
      </w:r>
    </w:p>
    <w:p>
      <w:pPr>
        <w:pStyle w:val="ListParagraph"/>
        <w:numPr>
          <w:ilvl w:val="0"/>
          <w:numId w:val="42"/>
        </w:numPr>
        <w:tabs>
          <w:tab w:pos="767" w:val="left" w:leader="none"/>
        </w:tabs>
        <w:spacing w:line="278" w:lineRule="auto" w:before="43" w:after="0"/>
        <w:ind w:left="238" w:right="1549" w:firstLine="0"/>
        <w:jc w:val="left"/>
        <w:rPr>
          <w:b/>
          <w:sz w:val="21"/>
        </w:rPr>
      </w:pPr>
      <w:r>
        <w:rPr>
          <w:spacing w:val="-2"/>
          <w:sz w:val="21"/>
        </w:rPr>
        <w:t>自主生活能力完全丧失，无法独立完成六项基本日常生活活动中的三项或三项以上。</w:t>
      </w:r>
      <w:r>
        <w:rPr>
          <w:b/>
          <w:spacing w:val="-2"/>
          <w:sz w:val="21"/>
        </w:rPr>
        <w:t>五十一、严重心肌病</w:t>
      </w:r>
    </w:p>
    <w:p>
      <w:pPr>
        <w:pStyle w:val="BodyText"/>
        <w:spacing w:line="278" w:lineRule="auto"/>
        <w:ind w:right="1548"/>
        <w:jc w:val="both"/>
      </w:pPr>
      <w:r>
        <w:rPr>
          <w:spacing w:val="-4"/>
        </w:rPr>
        <w:t>指不明原因引起的一类心肌病变，包括原发性扩张型心肌病、原发性肥厚型心肌病及原发性</w:t>
      </w:r>
      <w:r>
        <w:rPr>
          <w:spacing w:val="-4"/>
        </w:rPr>
        <w:t>限制型心肌病三种，病变必须已造成事实上心室功能障碍而出现明显的心功能衰竭（美国纽</w:t>
      </w:r>
      <w:r>
        <w:rPr/>
        <w:t>约心脏病学会（New</w:t>
      </w:r>
      <w:r>
        <w:rPr>
          <w:spacing w:val="-2"/>
        </w:rPr>
        <w:t> </w:t>
      </w:r>
      <w:r>
        <w:rPr/>
        <w:t>York</w:t>
      </w:r>
      <w:r>
        <w:rPr>
          <w:spacing w:val="-5"/>
        </w:rPr>
        <w:t> </w:t>
      </w:r>
      <w:r>
        <w:rPr/>
        <w:t>Heart</w:t>
      </w:r>
      <w:r>
        <w:rPr>
          <w:spacing w:val="-2"/>
        </w:rPr>
        <w:t> </w:t>
      </w:r>
      <w:r>
        <w:rPr/>
        <w:t>Association，NYHA）心功能状态分级达Ⅳ级</w:t>
      </w:r>
      <w:r>
        <w:rPr>
          <w:spacing w:val="-108"/>
        </w:rPr>
        <w:t>）</w:t>
      </w:r>
      <w:r>
        <w:rPr/>
        <w:t>，且有相关</w:t>
      </w:r>
      <w:r>
        <w:rPr>
          <w:spacing w:val="-2"/>
        </w:rPr>
        <w:t>住院医疗记录显示四级心功能衰竭状态持续至少一百八十天。</w:t>
      </w:r>
    </w:p>
    <w:p>
      <w:pPr>
        <w:pStyle w:val="Heading5"/>
        <w:spacing w:line="278" w:lineRule="auto"/>
        <w:ind w:right="1549"/>
      </w:pPr>
      <w:r>
        <w:rPr>
          <w:spacing w:val="-2"/>
        </w:rPr>
        <w:t>本病须经专科医生明确诊断。继发于全身性疾病或其他器官系统疾病造成的心肌病变不在</w:t>
      </w:r>
      <w:r>
        <w:rPr>
          <w:spacing w:val="-2"/>
        </w:rPr>
        <w:t>保障范围内。</w:t>
      </w:r>
    </w:p>
    <w:p>
      <w:pPr>
        <w:pStyle w:val="BodyText"/>
        <w:spacing w:line="278" w:lineRule="auto"/>
        <w:ind w:right="1549"/>
        <w:rPr>
          <w:b/>
        </w:rPr>
      </w:pPr>
      <w:r>
        <w:rPr>
          <w:spacing w:val="-3"/>
          <w:w w:val="100"/>
        </w:rPr>
        <w:t>美国纽约心脏病学会</w:t>
      </w:r>
      <w:r>
        <w:rPr>
          <w:spacing w:val="-1"/>
          <w:w w:val="100"/>
        </w:rPr>
        <w:t>（</w:t>
      </w:r>
      <w:r>
        <w:rPr>
          <w:w w:val="100"/>
        </w:rPr>
        <w:t>N</w:t>
      </w:r>
      <w:r>
        <w:rPr>
          <w:spacing w:val="-3"/>
          <w:w w:val="100"/>
        </w:rPr>
        <w:t>e</w:t>
      </w:r>
      <w:r>
        <w:rPr>
          <w:w w:val="100"/>
        </w:rPr>
        <w:t>w</w:t>
      </w:r>
      <w:r>
        <w:rPr>
          <w:spacing w:val="-31"/>
        </w:rPr>
        <w:t> </w:t>
      </w:r>
      <w:r>
        <w:rPr>
          <w:w w:val="100"/>
        </w:rPr>
        <w:t>York</w:t>
      </w:r>
      <w:r>
        <w:rPr>
          <w:spacing w:val="-31"/>
        </w:rPr>
        <w:t> </w:t>
      </w:r>
      <w:r>
        <w:rPr>
          <w:w w:val="100"/>
        </w:rPr>
        <w:t>H</w:t>
      </w:r>
      <w:r>
        <w:rPr>
          <w:spacing w:val="-3"/>
          <w:w w:val="100"/>
        </w:rPr>
        <w:t>e</w:t>
      </w:r>
      <w:r>
        <w:rPr>
          <w:w w:val="100"/>
        </w:rPr>
        <w:t>art</w:t>
      </w:r>
      <w:r>
        <w:rPr>
          <w:spacing w:val="-31"/>
        </w:rPr>
        <w:t> </w:t>
      </w:r>
      <w:r>
        <w:rPr>
          <w:w w:val="100"/>
        </w:rPr>
        <w:t>As</w:t>
      </w:r>
      <w:r>
        <w:rPr>
          <w:spacing w:val="-3"/>
          <w:w w:val="100"/>
        </w:rPr>
        <w:t>s</w:t>
      </w:r>
      <w:r>
        <w:rPr>
          <w:w w:val="100"/>
        </w:rPr>
        <w:t>oci</w:t>
      </w:r>
      <w:r>
        <w:rPr>
          <w:spacing w:val="-3"/>
          <w:w w:val="100"/>
        </w:rPr>
        <w:t>a</w:t>
      </w:r>
      <w:r>
        <w:rPr>
          <w:w w:val="100"/>
        </w:rPr>
        <w:t>tio</w:t>
      </w:r>
      <w:r>
        <w:rPr>
          <w:spacing w:val="-3"/>
          <w:w w:val="100"/>
        </w:rPr>
        <w:t>n</w:t>
      </w:r>
      <w:r>
        <w:rPr>
          <w:w w:val="100"/>
        </w:rPr>
        <w:t>，NYH</w:t>
      </w:r>
      <w:r>
        <w:rPr>
          <w:spacing w:val="-3"/>
          <w:w w:val="100"/>
        </w:rPr>
        <w:t>A</w:t>
      </w:r>
      <w:r>
        <w:rPr>
          <w:w w:val="100"/>
        </w:rPr>
        <w:t>）</w:t>
      </w:r>
      <w:r>
        <w:rPr>
          <w:spacing w:val="-3"/>
          <w:w w:val="100"/>
        </w:rPr>
        <w:t>心功能状态分级Ⅳ级是指有医院的医疗记录显示病人不能进行任何活动，休息时仍有心悸、呼吸困难等心力衰竭表现。</w:t>
      </w:r>
      <w:r>
        <w:rPr>
          <w:b/>
          <w:spacing w:val="-3"/>
          <w:w w:val="100"/>
        </w:rPr>
        <w:t>五十二、严重心肌炎</w:t>
      </w:r>
    </w:p>
    <w:p>
      <w:pPr>
        <w:pStyle w:val="BodyText"/>
        <w:spacing w:line="278" w:lineRule="auto"/>
        <w:ind w:right="1549"/>
        <w:rPr>
          <w:b/>
        </w:rPr>
      </w:pPr>
      <w:r>
        <w:rPr>
          <w:spacing w:val="-4"/>
        </w:rPr>
        <w:t>指心肌局限性或弥漫性的急性或慢性炎症病变，导致心脏功能障碍，达到美国纽约心脏病学</w:t>
      </w:r>
      <w:r>
        <w:rPr/>
        <w:t>会（New York Heart Association，NYHA）</w:t>
      </w:r>
      <w:r>
        <w:rPr>
          <w:spacing w:val="-2"/>
        </w:rPr>
        <w:t>心功能状态分级Ⅳ级，且需持续至少 </w:t>
      </w:r>
      <w:r>
        <w:rPr/>
        <w:t>90</w:t>
      </w:r>
      <w:r>
        <w:rPr>
          <w:spacing w:val="-12"/>
        </w:rPr>
        <w:t> 天。</w:t>
      </w:r>
      <w:r>
        <w:rPr/>
        <w:t> </w:t>
      </w:r>
      <w:r>
        <w:rPr>
          <w:b/>
          <w:spacing w:val="-2"/>
        </w:rPr>
        <w:t>五十三、肺淋巴管肌瘤病</w:t>
      </w:r>
    </w:p>
    <w:p>
      <w:pPr>
        <w:pStyle w:val="BodyText"/>
        <w:spacing w:line="278" w:lineRule="auto"/>
        <w:ind w:right="1548"/>
      </w:pPr>
      <w:r>
        <w:rPr>
          <w:spacing w:val="-4"/>
        </w:rPr>
        <w:t>肺淋巴管肌瘤病是一种弥漫性肺部疾病，主要病理改变为肺间质、支气管、血管和淋巴管内</w:t>
      </w:r>
      <w:r>
        <w:rPr>
          <w:spacing w:val="-2"/>
        </w:rPr>
        <w:t>出现未成熟的平滑肌异常增生，需同时满足下列全部条件：</w:t>
      </w:r>
    </w:p>
    <w:p>
      <w:pPr>
        <w:pStyle w:val="ListParagraph"/>
        <w:numPr>
          <w:ilvl w:val="0"/>
          <w:numId w:val="43"/>
        </w:numPr>
        <w:tabs>
          <w:tab w:pos="767" w:val="left" w:leader="none"/>
        </w:tabs>
        <w:spacing w:line="240" w:lineRule="auto" w:before="0" w:after="0"/>
        <w:ind w:left="767" w:right="0" w:hanging="529"/>
        <w:jc w:val="left"/>
        <w:rPr>
          <w:sz w:val="21"/>
        </w:rPr>
      </w:pPr>
      <w:r>
        <w:rPr>
          <w:spacing w:val="-3"/>
          <w:sz w:val="21"/>
        </w:rPr>
        <w:t>经组织病理学诊断；</w:t>
      </w:r>
    </w:p>
    <w:p>
      <w:pPr>
        <w:pStyle w:val="ListParagraph"/>
        <w:numPr>
          <w:ilvl w:val="0"/>
          <w:numId w:val="43"/>
        </w:numPr>
        <w:tabs>
          <w:tab w:pos="767" w:val="left" w:leader="none"/>
        </w:tabs>
        <w:spacing w:line="240" w:lineRule="auto" w:before="42" w:after="0"/>
        <w:ind w:left="767" w:right="0" w:hanging="529"/>
        <w:jc w:val="left"/>
        <w:rPr>
          <w:sz w:val="21"/>
        </w:rPr>
      </w:pPr>
      <w:r>
        <w:rPr>
          <w:spacing w:val="-2"/>
          <w:sz w:val="21"/>
        </w:rPr>
        <w:t>CT</w:t>
      </w:r>
      <w:r>
        <w:rPr>
          <w:spacing w:val="-10"/>
          <w:sz w:val="21"/>
        </w:rPr>
        <w:t> 显示双肺弥漫性囊性改变；</w:t>
      </w:r>
    </w:p>
    <w:p>
      <w:pPr>
        <w:pStyle w:val="ListParagraph"/>
        <w:numPr>
          <w:ilvl w:val="0"/>
          <w:numId w:val="43"/>
        </w:numPr>
        <w:tabs>
          <w:tab w:pos="767" w:val="left" w:leader="none"/>
        </w:tabs>
        <w:spacing w:line="278" w:lineRule="auto" w:before="43" w:after="0"/>
        <w:ind w:left="238" w:right="1565" w:firstLine="0"/>
        <w:jc w:val="left"/>
        <w:rPr>
          <w:b/>
          <w:sz w:val="21"/>
        </w:rPr>
      </w:pPr>
      <w:r>
        <w:rPr>
          <w:spacing w:val="-2"/>
          <w:sz w:val="21"/>
        </w:rPr>
        <w:t>休息时出现呼吸困难或并经本公司认可医院的专科医生认可有必要进行肺移植手术。</w:t>
      </w:r>
      <w:r>
        <w:rPr>
          <w:b/>
          <w:spacing w:val="-2"/>
          <w:sz w:val="21"/>
        </w:rPr>
        <w:t>五十四、侵蚀性葡萄胎（或称恶性葡萄胎）</w:t>
      </w:r>
    </w:p>
    <w:p>
      <w:pPr>
        <w:pStyle w:val="BodyText"/>
        <w:spacing w:line="278" w:lineRule="auto"/>
        <w:ind w:right="1549"/>
      </w:pPr>
      <w:r>
        <w:rPr>
          <w:w w:val="100"/>
        </w:rPr>
        <w:t>该种疾病是指异常增生的绒毛组织浸润性生长浸入子宫肌层或转移至其他器官或组织的葡</w:t>
      </w:r>
      <w:r>
        <w:rPr>
          <w:spacing w:val="-3"/>
          <w:w w:val="100"/>
        </w:rPr>
        <w:t>萄胎，并已经进行化疗或手术治疗。</w:t>
      </w:r>
    </w:p>
    <w:p>
      <w:pPr>
        <w:pStyle w:val="Heading5"/>
        <w:spacing w:line="269" w:lineRule="exact"/>
      </w:pPr>
      <w:r>
        <w:rPr>
          <w:spacing w:val="-3"/>
        </w:rPr>
        <w:t>五十五、心脏粘液瘤</w:t>
      </w:r>
    </w:p>
    <w:p>
      <w:pPr>
        <w:spacing w:line="278" w:lineRule="auto" w:before="43"/>
        <w:ind w:left="238" w:right="3769" w:firstLine="0"/>
        <w:jc w:val="left"/>
        <w:rPr>
          <w:b/>
          <w:sz w:val="21"/>
        </w:rPr>
      </w:pPr>
      <w:r>
        <w:rPr>
          <w:spacing w:val="-2"/>
          <w:sz w:val="21"/>
        </w:rPr>
        <w:t>为了治疗心脏粘液瘤，实际实施了开胸开心心脏粘液瘤切除手术。</w:t>
      </w:r>
      <w:r>
        <w:rPr>
          <w:b/>
          <w:spacing w:val="-2"/>
          <w:sz w:val="21"/>
        </w:rPr>
        <w:t>经导管介入手术治疗不在保障范围内。</w:t>
      </w:r>
    </w:p>
    <w:p>
      <w:pPr>
        <w:pStyle w:val="Heading5"/>
        <w:spacing w:line="269" w:lineRule="exact"/>
      </w:pPr>
      <w:r>
        <w:rPr>
          <w:spacing w:val="-3"/>
        </w:rPr>
        <w:t>五十六、感染性心内膜炎</w:t>
      </w:r>
    </w:p>
    <w:p>
      <w:pPr>
        <w:pStyle w:val="BodyText"/>
        <w:spacing w:line="278" w:lineRule="auto" w:before="43"/>
        <w:ind w:right="1551"/>
      </w:pPr>
      <w:r>
        <w:rPr>
          <w:spacing w:val="-4"/>
        </w:rPr>
        <w:t>指因细菌、真菌和其他微生物（如病毒、立克次体、衣原体、螺旋体等）直接感染而产生心</w:t>
      </w:r>
      <w:r>
        <w:rPr>
          <w:spacing w:val="-2"/>
        </w:rPr>
        <w:t>瓣膜或心室壁内膜的炎症，须经心脏专科医生确诊，并符合以下所有条件：</w:t>
      </w:r>
    </w:p>
    <w:p>
      <w:pPr>
        <w:pStyle w:val="ListParagraph"/>
        <w:numPr>
          <w:ilvl w:val="0"/>
          <w:numId w:val="44"/>
        </w:numPr>
        <w:tabs>
          <w:tab w:pos="767" w:val="left" w:leader="none"/>
        </w:tabs>
        <w:spacing w:line="240" w:lineRule="auto" w:before="0" w:after="0"/>
        <w:ind w:left="767" w:right="0" w:hanging="529"/>
        <w:jc w:val="left"/>
        <w:rPr>
          <w:sz w:val="21"/>
        </w:rPr>
      </w:pPr>
      <w:r>
        <w:rPr>
          <w:spacing w:val="-3"/>
          <w:sz w:val="21"/>
        </w:rPr>
        <w:t>血液培养测试结果为阳性，并至少符合以下条件之一：</w:t>
      </w:r>
    </w:p>
    <w:p>
      <w:pPr>
        <w:pStyle w:val="BodyText"/>
        <w:spacing w:before="43"/>
      </w:pPr>
      <w:r>
        <w:rPr>
          <w:spacing w:val="-3"/>
        </w:rPr>
        <w:t>①微生物：在赘生物，栓塞的赘生物或心脏内脓肿培养或组织检查证实有微生物；</w:t>
      </w:r>
    </w:p>
    <w:p>
      <w:pPr>
        <w:pStyle w:val="BodyText"/>
        <w:spacing w:before="43"/>
      </w:pPr>
      <w:r>
        <w:rPr>
          <w:spacing w:val="-3"/>
        </w:rPr>
        <w:t>②病理性病灶：组织检查证实赘生物或心脏内脓肿有活动性心内膜炎；</w:t>
      </w:r>
    </w:p>
    <w:p>
      <w:pPr>
        <w:pStyle w:val="BodyText"/>
        <w:spacing w:before="43"/>
      </w:pPr>
      <w:r>
        <w:rPr>
          <w:spacing w:val="-3"/>
        </w:rPr>
        <w:t>③分别两次血液培养证实有典型的微生物且与心内膜炎符合；</w:t>
      </w:r>
    </w:p>
    <w:p>
      <w:pPr>
        <w:pStyle w:val="BodyText"/>
        <w:spacing w:before="43"/>
      </w:pPr>
      <w:r>
        <w:rPr>
          <w:spacing w:val="-3"/>
        </w:rPr>
        <w:t>④持续血液培养证实有微生物阳性反应，且与心内膜炎符合。</w:t>
      </w:r>
    </w:p>
    <w:p>
      <w:pPr>
        <w:pStyle w:val="ListParagraph"/>
        <w:numPr>
          <w:ilvl w:val="0"/>
          <w:numId w:val="44"/>
        </w:numPr>
        <w:tabs>
          <w:tab w:pos="767" w:val="left" w:leader="none"/>
        </w:tabs>
        <w:spacing w:line="278" w:lineRule="auto" w:before="43" w:after="0"/>
        <w:ind w:left="238" w:right="1618" w:firstLine="0"/>
        <w:jc w:val="left"/>
        <w:rPr>
          <w:sz w:val="21"/>
        </w:rPr>
      </w:pPr>
      <w:r>
        <w:rPr>
          <w:spacing w:val="-2"/>
          <w:sz w:val="21"/>
        </w:rPr>
        <w:t>心内膜炎引起中度心瓣膜关闭不全（</w:t>
      </w:r>
      <w:r>
        <w:rPr>
          <w:spacing w:val="-9"/>
          <w:sz w:val="21"/>
        </w:rPr>
        <w:t>指返流指数 </w:t>
      </w:r>
      <w:r>
        <w:rPr>
          <w:spacing w:val="-2"/>
          <w:sz w:val="21"/>
        </w:rPr>
        <w:t>20%或以上）或中度心瓣膜狭窄（指</w:t>
      </w:r>
      <w:r>
        <w:rPr>
          <w:spacing w:val="-6"/>
          <w:sz w:val="21"/>
        </w:rPr>
        <w:t>心瓣膜开口范围小于或等于正常的 </w:t>
      </w:r>
      <w:r>
        <w:rPr>
          <w:spacing w:val="39"/>
          <w:sz w:val="21"/>
        </w:rPr>
        <w:t>3</w:t>
      </w:r>
      <w:r>
        <w:rPr>
          <w:spacing w:val="42"/>
          <w:sz w:val="21"/>
        </w:rPr>
        <w:t>0</w:t>
      </w:r>
      <w:r>
        <w:rPr>
          <w:spacing w:val="41"/>
          <w:sz w:val="21"/>
        </w:rPr>
        <w:t>%</w:t>
      </w:r>
      <w:r>
        <w:rPr>
          <w:spacing w:val="-66"/>
          <w:sz w:val="21"/>
        </w:rPr>
        <w:t>）；</w:t>
      </w:r>
    </w:p>
    <w:p>
      <w:pPr>
        <w:spacing w:after="0" w:line="278" w:lineRule="auto"/>
        <w:jc w:val="left"/>
        <w:rPr>
          <w:sz w:val="21"/>
        </w:rPr>
        <w:sectPr>
          <w:pgSz w:w="11910" w:h="16840"/>
          <w:pgMar w:header="0" w:footer="1005" w:top="1400" w:bottom="1200" w:left="1560" w:right="240"/>
        </w:sectPr>
      </w:pPr>
    </w:p>
    <w:p>
      <w:pPr>
        <w:pStyle w:val="ListParagraph"/>
        <w:numPr>
          <w:ilvl w:val="0"/>
          <w:numId w:val="44"/>
        </w:numPr>
        <w:tabs>
          <w:tab w:pos="767" w:val="left" w:leader="none"/>
        </w:tabs>
        <w:spacing w:line="278" w:lineRule="auto" w:before="44" w:after="0"/>
        <w:ind w:left="238" w:right="4297" w:firstLine="0"/>
        <w:jc w:val="left"/>
        <w:rPr>
          <w:b/>
          <w:sz w:val="21"/>
        </w:rPr>
      </w:pPr>
      <w:r>
        <w:rPr>
          <w:spacing w:val="-2"/>
          <w:sz w:val="21"/>
        </w:rPr>
        <w:t>心内膜炎及心瓣膜损毁程度需经由心脏专科医生确诊。</w:t>
      </w:r>
      <w:r>
        <w:rPr>
          <w:b/>
          <w:spacing w:val="-2"/>
          <w:sz w:val="21"/>
        </w:rPr>
        <w:t>五十七、肝豆状核变性</w:t>
      </w:r>
    </w:p>
    <w:p>
      <w:pPr>
        <w:pStyle w:val="BodyText"/>
        <w:spacing w:line="278" w:lineRule="auto"/>
        <w:ind w:right="1548"/>
        <w:jc w:val="both"/>
      </w:pPr>
      <w:r>
        <w:rPr>
          <w:spacing w:val="-2"/>
        </w:rPr>
        <w:t>肝豆状核变性是一种可能危及生命的铜代谢疾病，以铜沉积造成的渐进性肝功能损害及/或</w:t>
      </w:r>
      <w:r>
        <w:rPr>
          <w:spacing w:val="-11"/>
        </w:rPr>
        <w:t>神经功能恶化为特征。必须由本公司认可医院的专科医生通过肝脏活组织检查结果确定诊断</w:t>
      </w:r>
      <w:r>
        <w:rPr>
          <w:spacing w:val="-2"/>
        </w:rPr>
        <w:t>并配合螯合剂治疗持续至少 </w:t>
      </w:r>
      <w:r>
        <w:rPr/>
        <w:t>6</w:t>
      </w:r>
      <w:r>
        <w:rPr>
          <w:spacing w:val="-6"/>
        </w:rPr>
        <w:t> 个月。</w:t>
      </w:r>
    </w:p>
    <w:p>
      <w:pPr>
        <w:pStyle w:val="Heading5"/>
        <w:spacing w:line="278" w:lineRule="auto"/>
        <w:ind w:right="1549"/>
      </w:pPr>
      <w:r>
        <w:rPr>
          <w:spacing w:val="-2"/>
        </w:rPr>
        <w:t>本公司承担本项疾病责任不受本合同责任免除中“遗传性疾病，先天性畸形、变形或染色</w:t>
      </w:r>
      <w:r>
        <w:rPr>
          <w:spacing w:val="-2"/>
        </w:rPr>
        <w:t>体异常”的限制。</w:t>
      </w:r>
    </w:p>
    <w:p>
      <w:pPr>
        <w:spacing w:line="269" w:lineRule="exact" w:before="0"/>
        <w:ind w:left="238" w:right="0" w:firstLine="0"/>
        <w:jc w:val="left"/>
        <w:rPr>
          <w:b/>
          <w:sz w:val="21"/>
        </w:rPr>
      </w:pPr>
      <w:r>
        <w:rPr>
          <w:b/>
          <w:spacing w:val="-3"/>
          <w:sz w:val="21"/>
        </w:rPr>
        <w:t>五十八、肺源性心脏病</w:t>
      </w:r>
    </w:p>
    <w:p>
      <w:pPr>
        <w:pStyle w:val="BodyText"/>
        <w:spacing w:line="278" w:lineRule="auto" w:before="43"/>
        <w:ind w:right="1460"/>
      </w:pPr>
      <w:r>
        <w:rPr>
          <w:spacing w:val="-2"/>
        </w:rPr>
        <w:t>指由于各种胸肺及支气管病变而继发的肺动脉高压，最后导致以右室肥大为特征的心脏病。</w:t>
      </w:r>
      <w:r>
        <w:rPr>
          <w:spacing w:val="-2"/>
        </w:rPr>
        <w:t>须经呼吸专科医生确诊，且必须同时满足如下诊断标准：</w:t>
      </w:r>
    </w:p>
    <w:p>
      <w:pPr>
        <w:pStyle w:val="ListParagraph"/>
        <w:numPr>
          <w:ilvl w:val="0"/>
          <w:numId w:val="45"/>
        </w:numPr>
        <w:tabs>
          <w:tab w:pos="767" w:val="left" w:leader="none"/>
        </w:tabs>
        <w:spacing w:line="269" w:lineRule="exact" w:before="0" w:after="0"/>
        <w:ind w:left="767" w:right="0" w:hanging="529"/>
        <w:jc w:val="left"/>
        <w:rPr>
          <w:sz w:val="21"/>
        </w:rPr>
      </w:pPr>
      <w:r>
        <w:rPr>
          <w:spacing w:val="-2"/>
          <w:sz w:val="21"/>
        </w:rPr>
        <w:t>左心房压力增高（</w:t>
      </w:r>
      <w:r>
        <w:rPr>
          <w:spacing w:val="-14"/>
          <w:sz w:val="21"/>
        </w:rPr>
        <w:t>不低于 </w:t>
      </w:r>
      <w:r>
        <w:rPr>
          <w:spacing w:val="-2"/>
          <w:sz w:val="21"/>
        </w:rPr>
        <w:t>20</w:t>
      </w:r>
      <w:r>
        <w:rPr>
          <w:spacing w:val="-14"/>
          <w:sz w:val="21"/>
        </w:rPr>
        <w:t> 个单位</w:t>
      </w:r>
      <w:r>
        <w:rPr>
          <w:spacing w:val="-113"/>
          <w:sz w:val="21"/>
        </w:rPr>
        <w:t>）</w:t>
      </w:r>
      <w:r>
        <w:rPr>
          <w:spacing w:val="-5"/>
          <w:sz w:val="21"/>
        </w:rPr>
        <w:t>；</w:t>
      </w:r>
    </w:p>
    <w:p>
      <w:pPr>
        <w:pStyle w:val="ListParagraph"/>
        <w:numPr>
          <w:ilvl w:val="0"/>
          <w:numId w:val="45"/>
        </w:numPr>
        <w:tabs>
          <w:tab w:pos="767" w:val="left" w:leader="none"/>
        </w:tabs>
        <w:spacing w:line="240" w:lineRule="auto" w:before="43" w:after="0"/>
        <w:ind w:left="767" w:right="0" w:hanging="529"/>
        <w:jc w:val="left"/>
        <w:rPr>
          <w:sz w:val="21"/>
        </w:rPr>
      </w:pPr>
      <w:r>
        <w:rPr>
          <w:spacing w:val="-7"/>
          <w:sz w:val="21"/>
        </w:rPr>
        <w:t>肺血管阻力高于正常值 </w:t>
      </w:r>
      <w:r>
        <w:rPr>
          <w:spacing w:val="-2"/>
          <w:sz w:val="21"/>
        </w:rPr>
        <w:t>3</w:t>
      </w:r>
      <w:r>
        <w:rPr>
          <w:spacing w:val="-14"/>
          <w:sz w:val="21"/>
        </w:rPr>
        <w:t> 个单位</w:t>
      </w:r>
      <w:r>
        <w:rPr>
          <w:spacing w:val="-2"/>
          <w:sz w:val="21"/>
        </w:rPr>
        <w:t>（Pulmonary</w:t>
      </w:r>
      <w:r>
        <w:rPr>
          <w:spacing w:val="8"/>
          <w:sz w:val="21"/>
        </w:rPr>
        <w:t> </w:t>
      </w:r>
      <w:r>
        <w:rPr>
          <w:spacing w:val="13"/>
          <w:sz w:val="21"/>
        </w:rPr>
        <w:t>R</w:t>
      </w:r>
      <w:r>
        <w:rPr>
          <w:spacing w:val="16"/>
          <w:sz w:val="21"/>
        </w:rPr>
        <w:t>esist</w:t>
      </w:r>
      <w:r>
        <w:rPr>
          <w:spacing w:val="13"/>
          <w:sz w:val="21"/>
        </w:rPr>
        <w:t>a</w:t>
      </w:r>
      <w:r>
        <w:rPr>
          <w:spacing w:val="16"/>
          <w:sz w:val="21"/>
        </w:rPr>
        <w:t>nce</w:t>
      </w:r>
      <w:r>
        <w:rPr>
          <w:spacing w:val="-92"/>
          <w:sz w:val="21"/>
        </w:rPr>
        <w:t>）；</w:t>
      </w:r>
    </w:p>
    <w:p>
      <w:pPr>
        <w:pStyle w:val="ListParagraph"/>
        <w:numPr>
          <w:ilvl w:val="0"/>
          <w:numId w:val="45"/>
        </w:numPr>
        <w:tabs>
          <w:tab w:pos="767" w:val="left" w:leader="none"/>
        </w:tabs>
        <w:spacing w:line="240" w:lineRule="auto" w:before="43" w:after="0"/>
        <w:ind w:left="767" w:right="0" w:hanging="529"/>
        <w:jc w:val="left"/>
        <w:rPr>
          <w:sz w:val="21"/>
        </w:rPr>
      </w:pPr>
      <w:r>
        <w:rPr>
          <w:spacing w:val="-8"/>
          <w:sz w:val="21"/>
        </w:rPr>
        <w:t>肺动脉血压不低于 </w:t>
      </w:r>
      <w:r>
        <w:rPr>
          <w:spacing w:val="-2"/>
          <w:sz w:val="21"/>
        </w:rPr>
        <w:t>40</w:t>
      </w:r>
      <w:r>
        <w:rPr>
          <w:spacing w:val="-12"/>
          <w:sz w:val="21"/>
        </w:rPr>
        <w:t> 毫米汞柱；</w:t>
      </w:r>
    </w:p>
    <w:p>
      <w:pPr>
        <w:pStyle w:val="ListParagraph"/>
        <w:numPr>
          <w:ilvl w:val="0"/>
          <w:numId w:val="45"/>
        </w:numPr>
        <w:tabs>
          <w:tab w:pos="767" w:val="left" w:leader="none"/>
        </w:tabs>
        <w:spacing w:line="240" w:lineRule="auto" w:before="43" w:after="0"/>
        <w:ind w:left="767" w:right="0" w:hanging="529"/>
        <w:jc w:val="left"/>
        <w:rPr>
          <w:sz w:val="21"/>
        </w:rPr>
      </w:pPr>
      <w:r>
        <w:rPr>
          <w:spacing w:val="-8"/>
          <w:sz w:val="21"/>
        </w:rPr>
        <w:t>肺动脉楔压不低于 </w:t>
      </w:r>
      <w:r>
        <w:rPr>
          <w:spacing w:val="-2"/>
          <w:sz w:val="21"/>
        </w:rPr>
        <w:t>6</w:t>
      </w:r>
      <w:r>
        <w:rPr>
          <w:spacing w:val="-12"/>
          <w:sz w:val="21"/>
        </w:rPr>
        <w:t> 毫米汞柱；</w:t>
      </w:r>
    </w:p>
    <w:p>
      <w:pPr>
        <w:pStyle w:val="ListParagraph"/>
        <w:numPr>
          <w:ilvl w:val="0"/>
          <w:numId w:val="45"/>
        </w:numPr>
        <w:tabs>
          <w:tab w:pos="767" w:val="left" w:leader="none"/>
        </w:tabs>
        <w:spacing w:line="240" w:lineRule="auto" w:before="43" w:after="0"/>
        <w:ind w:left="767" w:right="0" w:hanging="529"/>
        <w:jc w:val="left"/>
        <w:rPr>
          <w:sz w:val="21"/>
        </w:rPr>
      </w:pPr>
      <w:r>
        <w:rPr>
          <w:spacing w:val="-6"/>
          <w:sz w:val="21"/>
        </w:rPr>
        <w:t>右心室心脏舒张期末压力不低于 </w:t>
      </w:r>
      <w:r>
        <w:rPr>
          <w:spacing w:val="-2"/>
          <w:sz w:val="21"/>
        </w:rPr>
        <w:t>8</w:t>
      </w:r>
      <w:r>
        <w:rPr>
          <w:spacing w:val="-12"/>
          <w:sz w:val="21"/>
        </w:rPr>
        <w:t> 毫米汞柱；</w:t>
      </w:r>
    </w:p>
    <w:p>
      <w:pPr>
        <w:pStyle w:val="ListParagraph"/>
        <w:numPr>
          <w:ilvl w:val="0"/>
          <w:numId w:val="45"/>
        </w:numPr>
        <w:tabs>
          <w:tab w:pos="767" w:val="left" w:leader="none"/>
        </w:tabs>
        <w:spacing w:line="278" w:lineRule="auto" w:before="43" w:after="0"/>
        <w:ind w:left="238" w:right="4506" w:firstLine="0"/>
        <w:jc w:val="left"/>
        <w:rPr>
          <w:b/>
          <w:sz w:val="21"/>
        </w:rPr>
      </w:pPr>
      <w:r>
        <w:rPr>
          <w:spacing w:val="-2"/>
          <w:sz w:val="21"/>
        </w:rPr>
        <w:t>右心室过度肥大、扩张，出现右心衰竭和呼吸困难。</w:t>
      </w:r>
      <w:r>
        <w:rPr>
          <w:b/>
          <w:spacing w:val="-2"/>
          <w:sz w:val="21"/>
        </w:rPr>
        <w:t>五十九、肾髓质囊性病</w:t>
      </w:r>
    </w:p>
    <w:p>
      <w:pPr>
        <w:pStyle w:val="BodyText"/>
        <w:spacing w:line="269" w:lineRule="exact"/>
      </w:pPr>
      <w:r>
        <w:rPr>
          <w:spacing w:val="-3"/>
        </w:rPr>
        <w:t>肾髓质囊性病的诊断须同时符合下列要求：</w:t>
      </w:r>
    </w:p>
    <w:p>
      <w:pPr>
        <w:pStyle w:val="ListParagraph"/>
        <w:numPr>
          <w:ilvl w:val="0"/>
          <w:numId w:val="46"/>
        </w:numPr>
        <w:tabs>
          <w:tab w:pos="767" w:val="left" w:leader="none"/>
        </w:tabs>
        <w:spacing w:line="240" w:lineRule="auto" w:before="43" w:after="0"/>
        <w:ind w:left="767" w:right="0" w:hanging="529"/>
        <w:jc w:val="left"/>
        <w:rPr>
          <w:sz w:val="21"/>
        </w:rPr>
      </w:pPr>
      <w:r>
        <w:rPr>
          <w:spacing w:val="-3"/>
          <w:sz w:val="21"/>
        </w:rPr>
        <w:t>肾髓质有囊肿、肾小管萎缩及间质纤维化等病理改变；</w:t>
      </w:r>
    </w:p>
    <w:p>
      <w:pPr>
        <w:pStyle w:val="ListParagraph"/>
        <w:numPr>
          <w:ilvl w:val="0"/>
          <w:numId w:val="46"/>
        </w:numPr>
        <w:tabs>
          <w:tab w:pos="767" w:val="left" w:leader="none"/>
        </w:tabs>
        <w:spacing w:line="240" w:lineRule="auto" w:before="43" w:after="0"/>
        <w:ind w:left="767" w:right="0" w:hanging="529"/>
        <w:jc w:val="left"/>
        <w:rPr>
          <w:sz w:val="21"/>
        </w:rPr>
      </w:pPr>
      <w:r>
        <w:rPr>
          <w:spacing w:val="-4"/>
          <w:sz w:val="21"/>
        </w:rPr>
        <w:t>肾功能衰竭；</w:t>
      </w:r>
    </w:p>
    <w:p>
      <w:pPr>
        <w:pStyle w:val="ListParagraph"/>
        <w:numPr>
          <w:ilvl w:val="0"/>
          <w:numId w:val="46"/>
        </w:numPr>
        <w:tabs>
          <w:tab w:pos="767" w:val="left" w:leader="none"/>
        </w:tabs>
        <w:spacing w:line="240" w:lineRule="auto" w:before="43" w:after="0"/>
        <w:ind w:left="767" w:right="0" w:hanging="529"/>
        <w:jc w:val="left"/>
        <w:rPr>
          <w:sz w:val="21"/>
        </w:rPr>
      </w:pPr>
      <w:r>
        <w:rPr>
          <w:spacing w:val="-3"/>
          <w:sz w:val="21"/>
        </w:rPr>
        <w:t>诊断须由肾组织活检确定。</w:t>
      </w:r>
    </w:p>
    <w:p>
      <w:pPr>
        <w:pStyle w:val="Heading5"/>
        <w:spacing w:line="278" w:lineRule="auto" w:before="43"/>
        <w:ind w:right="1549"/>
      </w:pPr>
      <w:r>
        <w:rPr>
          <w:spacing w:val="-2"/>
        </w:rPr>
        <w:t>本公司承担本项疾病责任不受本合同责任免除中“遗传性疾病，先天性畸形、变形或染色</w:t>
      </w:r>
      <w:r>
        <w:rPr>
          <w:spacing w:val="-2"/>
        </w:rPr>
        <w:t>体异常”的限制。</w:t>
      </w:r>
    </w:p>
    <w:p>
      <w:pPr>
        <w:spacing w:line="269" w:lineRule="exact" w:before="0"/>
        <w:ind w:left="238" w:right="0" w:firstLine="0"/>
        <w:jc w:val="left"/>
        <w:rPr>
          <w:b/>
          <w:sz w:val="21"/>
        </w:rPr>
      </w:pPr>
      <w:r>
        <w:rPr>
          <w:b/>
          <w:spacing w:val="-3"/>
          <w:sz w:val="21"/>
        </w:rPr>
        <w:t>六十、严重继发性肺动脉高压</w:t>
      </w:r>
    </w:p>
    <w:p>
      <w:pPr>
        <w:pStyle w:val="BodyText"/>
        <w:spacing w:line="278" w:lineRule="auto" w:before="43"/>
        <w:ind w:right="1443"/>
      </w:pPr>
      <w:r>
        <w:rPr>
          <w:spacing w:val="-15"/>
        </w:rPr>
        <w:t>继发性肺动脉压力持续增高，导致右心室肥厚，已经造成永久不可逆性的体力活动能力受限，</w:t>
      </w:r>
      <w:r>
        <w:rPr/>
        <w:t>达到美国纽约心脏病学会（New York Heart Association，NYHA）</w:t>
      </w:r>
      <w:r>
        <w:rPr>
          <w:spacing w:val="-5"/>
        </w:rPr>
        <w:t>心功能状态分级 </w:t>
      </w:r>
      <w:r>
        <w:rPr/>
        <w:t>IV</w:t>
      </w:r>
      <w:r>
        <w:rPr>
          <w:spacing w:val="-14"/>
        </w:rPr>
        <w:t> 级。</w:t>
      </w:r>
      <w:r>
        <w:rPr>
          <w:spacing w:val="-8"/>
        </w:rPr>
        <w:t>诊断需要由心脏科专专科医生确诊，并且心导管检查报告显示静息状态下肺动脉平均压超过</w:t>
      </w:r>
      <w:r>
        <w:rPr>
          <w:spacing w:val="-2"/>
        </w:rPr>
        <w:t> 36mmHg（含</w:t>
      </w:r>
      <w:r>
        <w:rPr>
          <w:spacing w:val="-106"/>
        </w:rPr>
        <w:t>）</w:t>
      </w:r>
      <w:r>
        <w:rPr>
          <w:spacing w:val="-2"/>
        </w:rPr>
        <w:t>。</w:t>
      </w:r>
    </w:p>
    <w:p>
      <w:pPr>
        <w:pStyle w:val="Heading5"/>
        <w:spacing w:line="278" w:lineRule="auto"/>
        <w:ind w:right="3328"/>
      </w:pPr>
      <w:r>
        <w:rPr>
          <w:spacing w:val="-2"/>
        </w:rPr>
        <w:t>所有先天性心脏疾病直接或间接引起的肺动脉高压均不在保障范围内。</w:t>
      </w:r>
      <w:r>
        <w:rPr>
          <w:spacing w:val="-2"/>
        </w:rPr>
        <w:t>六十一、严重进行性核上性麻痹</w:t>
      </w:r>
    </w:p>
    <w:p>
      <w:pPr>
        <w:pStyle w:val="BodyText"/>
        <w:spacing w:line="278" w:lineRule="auto"/>
        <w:ind w:right="1551"/>
        <w:jc w:val="both"/>
      </w:pPr>
      <w:r>
        <w:rPr>
          <w:spacing w:val="-4"/>
        </w:rPr>
        <w:t>进行性核上性麻痹（PSP）又称 Steele-Rchardson-Olszewski</w:t>
      </w:r>
      <w:r>
        <w:rPr>
          <w:spacing w:val="-6"/>
        </w:rPr>
        <w:t> 综合征，是一种少见的神经系</w:t>
      </w:r>
      <w:r>
        <w:rPr>
          <w:spacing w:val="-4"/>
        </w:rPr>
        <w:t>统变性疾病，以假性球麻痹、垂直性核上性眼肌麻痹、锥体外系肌僵直、步态共济失调和轻</w:t>
      </w:r>
      <w:r>
        <w:rPr>
          <w:spacing w:val="-2"/>
        </w:rPr>
        <w:t>度痴呆为主要临床特征。PSP</w:t>
      </w:r>
      <w:r>
        <w:rPr>
          <w:spacing w:val="-7"/>
        </w:rPr>
        <w:t> 必须由三级甲等医院的神经内科专科医生确诊，并且被保险人</w:t>
      </w:r>
      <w:r>
        <w:rPr>
          <w:spacing w:val="-2"/>
        </w:rPr>
        <w:t>自主生活能力完全丧失，无法独立完成六项基本日常生活活动中的三项或三项以上。</w:t>
      </w:r>
    </w:p>
    <w:p>
      <w:pPr>
        <w:pStyle w:val="Heading5"/>
        <w:spacing w:line="269" w:lineRule="exact"/>
      </w:pPr>
      <w:r>
        <w:rPr>
          <w:spacing w:val="-3"/>
        </w:rPr>
        <w:t>六十二、失去一肢及一眼</w:t>
      </w:r>
    </w:p>
    <w:p>
      <w:pPr>
        <w:pStyle w:val="BodyText"/>
        <w:spacing w:before="43"/>
      </w:pPr>
      <w:r>
        <w:rPr>
          <w:spacing w:val="-3"/>
        </w:rPr>
        <w:t>因疾病或受伤导致以下两项情形同时不可复原及永久性完全丧失：</w:t>
      </w:r>
    </w:p>
    <w:p>
      <w:pPr>
        <w:pStyle w:val="ListParagraph"/>
        <w:numPr>
          <w:ilvl w:val="0"/>
          <w:numId w:val="47"/>
        </w:numPr>
        <w:tabs>
          <w:tab w:pos="767" w:val="left" w:leader="none"/>
        </w:tabs>
        <w:spacing w:line="240" w:lineRule="auto" w:before="42" w:after="0"/>
        <w:ind w:left="767" w:right="0" w:hanging="529"/>
        <w:jc w:val="left"/>
        <w:rPr>
          <w:sz w:val="21"/>
        </w:rPr>
      </w:pPr>
      <w:r>
        <w:rPr>
          <w:spacing w:val="-4"/>
          <w:sz w:val="21"/>
        </w:rPr>
        <w:t>一眼视力；</w:t>
      </w:r>
    </w:p>
    <w:p>
      <w:pPr>
        <w:pStyle w:val="ListParagraph"/>
        <w:numPr>
          <w:ilvl w:val="0"/>
          <w:numId w:val="47"/>
        </w:numPr>
        <w:tabs>
          <w:tab w:pos="767" w:val="left" w:leader="none"/>
        </w:tabs>
        <w:spacing w:line="278" w:lineRule="auto" w:before="44" w:after="0"/>
        <w:ind w:left="238" w:right="5557" w:firstLine="0"/>
        <w:jc w:val="left"/>
        <w:rPr>
          <w:b/>
          <w:sz w:val="21"/>
        </w:rPr>
      </w:pPr>
      <w:r>
        <w:rPr>
          <w:spacing w:val="-2"/>
          <w:sz w:val="21"/>
        </w:rPr>
        <w:t>任何一肢于腕骨或踝骨部位或以上切断。</w:t>
      </w:r>
      <w:r>
        <w:rPr>
          <w:b/>
          <w:spacing w:val="-2"/>
          <w:sz w:val="21"/>
        </w:rPr>
        <w:t>六十三、嗜铬细胞瘤</w:t>
      </w:r>
    </w:p>
    <w:p>
      <w:pPr>
        <w:pStyle w:val="BodyText"/>
        <w:spacing w:line="278" w:lineRule="auto"/>
        <w:ind w:right="1548"/>
      </w:pPr>
      <w:r>
        <w:rPr>
          <w:spacing w:val="-4"/>
        </w:rPr>
        <w:t>是指肾上腺或嗜铬外组织出现神经内分泌肿瘤，并分</w:t>
      </w:r>
      <w:r>
        <w:rPr>
          <w:rFonts w:ascii="Dotum" w:eastAsia="Dotum"/>
          <w:spacing w:val="-4"/>
        </w:rPr>
        <w:t>泌</w:t>
      </w:r>
      <w:r>
        <w:rPr>
          <w:spacing w:val="-4"/>
        </w:rPr>
        <w:t>过多的儿茶酚胺类，确实需要进行手</w:t>
      </w:r>
      <w:r>
        <w:rPr>
          <w:spacing w:val="-2"/>
        </w:rPr>
        <w:t>术以切除肿瘤。嗜铬细胞瘤的诊断必须由内分泌专科医生确认。</w:t>
      </w:r>
    </w:p>
    <w:p>
      <w:pPr>
        <w:pStyle w:val="Heading5"/>
        <w:spacing w:line="268" w:lineRule="exact"/>
      </w:pPr>
      <w:r>
        <w:rPr>
          <w:spacing w:val="-2"/>
        </w:rPr>
        <w:t>六十四、颅脑手术</w:t>
      </w:r>
    </w:p>
    <w:p>
      <w:pPr>
        <w:spacing w:line="278" w:lineRule="auto" w:before="43"/>
        <w:ind w:left="238" w:right="2180" w:firstLine="0"/>
        <w:jc w:val="left"/>
        <w:rPr>
          <w:b/>
          <w:sz w:val="21"/>
        </w:rPr>
      </w:pPr>
      <w:r>
        <w:rPr>
          <w:spacing w:val="-2"/>
          <w:sz w:val="21"/>
        </w:rPr>
        <w:t>被保险人确已实施全麻下的开颅手术</w:t>
      </w:r>
      <w:r>
        <w:rPr>
          <w:b/>
          <w:spacing w:val="-2"/>
          <w:sz w:val="21"/>
        </w:rPr>
        <w:t>（不包括颅骨钻孔手术和经鼻蝶窦入颅手术</w:t>
      </w:r>
      <w:r>
        <w:rPr>
          <w:b/>
          <w:spacing w:val="-106"/>
          <w:sz w:val="21"/>
        </w:rPr>
        <w:t>）</w:t>
      </w:r>
      <w:r>
        <w:rPr>
          <w:spacing w:val="-2"/>
          <w:sz w:val="21"/>
        </w:rPr>
        <w:t>。</w:t>
      </w:r>
      <w:r>
        <w:rPr>
          <w:b/>
          <w:spacing w:val="-2"/>
          <w:sz w:val="21"/>
        </w:rPr>
        <w:t>因外伤而实施的脑外科手术不在保障范围之内。</w:t>
      </w:r>
    </w:p>
    <w:p>
      <w:pPr>
        <w:spacing w:after="0" w:line="278" w:lineRule="auto"/>
        <w:jc w:val="left"/>
        <w:rPr>
          <w:sz w:val="21"/>
        </w:rPr>
        <w:sectPr>
          <w:pgSz w:w="11910" w:h="16840"/>
          <w:pgMar w:header="0" w:footer="1005" w:top="1400" w:bottom="1200" w:left="1560" w:right="240"/>
        </w:sectPr>
      </w:pPr>
    </w:p>
    <w:p>
      <w:pPr>
        <w:spacing w:line="278" w:lineRule="auto" w:before="44"/>
        <w:ind w:left="238" w:right="4400" w:firstLine="0"/>
        <w:jc w:val="left"/>
        <w:rPr>
          <w:b/>
          <w:sz w:val="21"/>
        </w:rPr>
      </w:pPr>
      <w:r>
        <w:rPr>
          <w:spacing w:val="-2"/>
          <w:sz w:val="21"/>
        </w:rPr>
        <w:t>理赔时必须提供由神经外科医生出具的诊断书及手术报告。</w:t>
      </w:r>
      <w:r>
        <w:rPr>
          <w:b/>
          <w:spacing w:val="-2"/>
          <w:sz w:val="21"/>
        </w:rPr>
        <w:t>六十五、严重自身免疫性肝炎</w:t>
      </w:r>
    </w:p>
    <w:p>
      <w:pPr>
        <w:pStyle w:val="BodyText"/>
        <w:spacing w:line="278" w:lineRule="auto"/>
        <w:ind w:right="1548"/>
        <w:jc w:val="both"/>
      </w:pPr>
      <w:r>
        <w:rPr>
          <w:spacing w:val="-4"/>
        </w:rPr>
        <w:t>自身免疫性肝炎是一种原因不明的慢性肝脏的坏死性炎性疾病，机体免疫机制被破坏，产生</w:t>
      </w:r>
      <w:r>
        <w:rPr>
          <w:spacing w:val="-4"/>
        </w:rPr>
        <w:t>针对肝脏自身抗原的抗体导致自身免疫反应，从而破坏肝细胞造成肝脏炎症坏死，进而发展</w:t>
      </w:r>
      <w:r>
        <w:rPr>
          <w:spacing w:val="-2"/>
        </w:rPr>
        <w:t>为肝硬化。必须满足以下所有条件：</w:t>
      </w:r>
    </w:p>
    <w:p>
      <w:pPr>
        <w:pStyle w:val="ListParagraph"/>
        <w:numPr>
          <w:ilvl w:val="0"/>
          <w:numId w:val="48"/>
        </w:numPr>
        <w:tabs>
          <w:tab w:pos="767" w:val="left" w:leader="none"/>
        </w:tabs>
        <w:spacing w:line="269" w:lineRule="exact" w:before="0" w:after="0"/>
        <w:ind w:left="767" w:right="0" w:hanging="529"/>
        <w:jc w:val="left"/>
        <w:rPr>
          <w:sz w:val="21"/>
        </w:rPr>
      </w:pPr>
      <w:r>
        <w:rPr>
          <w:spacing w:val="-2"/>
          <w:sz w:val="21"/>
        </w:rPr>
        <w:t>高γ</w:t>
      </w:r>
      <w:r>
        <w:rPr>
          <w:spacing w:val="-4"/>
          <w:sz w:val="21"/>
        </w:rPr>
        <w:t>球蛋白血症；</w:t>
      </w:r>
    </w:p>
    <w:p>
      <w:pPr>
        <w:pStyle w:val="ListParagraph"/>
        <w:numPr>
          <w:ilvl w:val="0"/>
          <w:numId w:val="48"/>
        </w:numPr>
        <w:tabs>
          <w:tab w:pos="767" w:val="left" w:leader="none"/>
        </w:tabs>
        <w:spacing w:line="278" w:lineRule="auto" w:before="43" w:after="0"/>
        <w:ind w:left="238" w:right="1548" w:firstLine="0"/>
        <w:jc w:val="left"/>
        <w:rPr>
          <w:sz w:val="21"/>
        </w:rPr>
      </w:pPr>
      <w:r>
        <w:rPr>
          <w:spacing w:val="-7"/>
          <w:sz w:val="21"/>
        </w:rPr>
        <w:t>血液中存在高水平的自身免疫抗体，如 </w:t>
      </w:r>
      <w:r>
        <w:rPr>
          <w:sz w:val="21"/>
        </w:rPr>
        <w:t>ANA（抗核抗体</w:t>
      </w:r>
      <w:r>
        <w:rPr>
          <w:spacing w:val="-106"/>
          <w:sz w:val="21"/>
        </w:rPr>
        <w:t>）</w:t>
      </w:r>
      <w:r>
        <w:rPr>
          <w:spacing w:val="-51"/>
          <w:sz w:val="21"/>
        </w:rPr>
        <w:t>、</w:t>
      </w:r>
      <w:r>
        <w:rPr>
          <w:sz w:val="21"/>
        </w:rPr>
        <w:t>SMA（抗平滑肌抗体</w:t>
      </w:r>
      <w:r>
        <w:rPr>
          <w:spacing w:val="-106"/>
          <w:sz w:val="21"/>
        </w:rPr>
        <w:t>）</w:t>
      </w:r>
      <w:r>
        <w:rPr>
          <w:spacing w:val="-27"/>
          <w:sz w:val="21"/>
        </w:rPr>
        <w:t>、抗</w:t>
      </w:r>
      <w:r>
        <w:rPr>
          <w:sz w:val="21"/>
        </w:rPr>
        <w:t> LKM1抗体或抗-SLA/LP</w:t>
      </w:r>
      <w:r>
        <w:rPr>
          <w:spacing w:val="-12"/>
          <w:sz w:val="21"/>
        </w:rPr>
        <w:t> 抗体；</w:t>
      </w:r>
    </w:p>
    <w:p>
      <w:pPr>
        <w:pStyle w:val="ListParagraph"/>
        <w:numPr>
          <w:ilvl w:val="0"/>
          <w:numId w:val="48"/>
        </w:numPr>
        <w:tabs>
          <w:tab w:pos="767" w:val="left" w:leader="none"/>
        </w:tabs>
        <w:spacing w:line="269" w:lineRule="exact" w:before="0" w:after="0"/>
        <w:ind w:left="767" w:right="0" w:hanging="529"/>
        <w:jc w:val="left"/>
        <w:rPr>
          <w:sz w:val="21"/>
        </w:rPr>
      </w:pPr>
      <w:r>
        <w:rPr>
          <w:spacing w:val="-3"/>
          <w:sz w:val="21"/>
        </w:rPr>
        <w:t>肝脏活检证实免疫性肝炎；</w:t>
      </w:r>
    </w:p>
    <w:p>
      <w:pPr>
        <w:pStyle w:val="ListParagraph"/>
        <w:numPr>
          <w:ilvl w:val="0"/>
          <w:numId w:val="48"/>
        </w:numPr>
        <w:tabs>
          <w:tab w:pos="767" w:val="left" w:leader="none"/>
        </w:tabs>
        <w:spacing w:line="278" w:lineRule="auto" w:before="43" w:after="0"/>
        <w:ind w:left="238" w:right="3877" w:firstLine="0"/>
        <w:jc w:val="left"/>
        <w:rPr>
          <w:b/>
          <w:sz w:val="21"/>
        </w:rPr>
      </w:pPr>
      <w:r>
        <w:rPr>
          <w:spacing w:val="-2"/>
          <w:sz w:val="21"/>
        </w:rPr>
        <w:t>临床已经出现腹水、食道静脉曲张和脾肿大等肝硬化表现。</w:t>
      </w:r>
      <w:r>
        <w:rPr>
          <w:b/>
          <w:spacing w:val="-2"/>
          <w:sz w:val="21"/>
        </w:rPr>
        <w:t>六十六、原发性骨髓纤维化</w:t>
      </w:r>
    </w:p>
    <w:p>
      <w:pPr>
        <w:pStyle w:val="BodyText"/>
        <w:spacing w:line="278" w:lineRule="auto"/>
        <w:ind w:right="1443"/>
      </w:pPr>
      <w:r>
        <w:rPr>
          <w:spacing w:val="-9"/>
        </w:rPr>
        <w:t>原发性骨髓纤维化为原因不明的骨髓中成纤维细胞增殖，伴有髓外造血，表现为进行性贫血、</w:t>
      </w:r>
      <w:r>
        <w:rPr>
          <w:spacing w:val="-12"/>
        </w:rPr>
        <w:t>脾肿大等症状。本疾病须根据骨髓的活组织检查和周围血象检查由我们认可的医院血液科专</w:t>
      </w:r>
      <w:r>
        <w:rPr>
          <w:spacing w:val="-2"/>
        </w:rPr>
        <w:t>科医生明确诊断，并至少符合下列条件中的三项，且符合条件的状态持续 </w:t>
      </w:r>
      <w:r>
        <w:rPr/>
        <w:t>180</w:t>
      </w:r>
      <w:r>
        <w:rPr>
          <w:spacing w:val="-9"/>
        </w:rPr>
        <w:t> 天及以上，并</w:t>
      </w:r>
      <w:r>
        <w:rPr>
          <w:spacing w:val="-2"/>
        </w:rPr>
        <w:t>已经实际实施了针对此症的治疗：</w:t>
      </w:r>
    </w:p>
    <w:p>
      <w:pPr>
        <w:pStyle w:val="BodyText"/>
      </w:pPr>
      <w:r>
        <w:rPr>
          <w:spacing w:val="-2"/>
        </w:rPr>
        <w:t>（1）血红蛋白&lt;100g/L；</w:t>
      </w:r>
    </w:p>
    <w:p>
      <w:pPr>
        <w:pStyle w:val="BodyText"/>
        <w:spacing w:before="33"/>
      </w:pPr>
      <w:r>
        <w:rPr>
          <w:spacing w:val="-2"/>
        </w:rPr>
        <w:t>（2）白细胞计数&gt;25×10</w:t>
      </w:r>
      <w:r>
        <w:rPr>
          <w:spacing w:val="-2"/>
          <w:position w:val="11"/>
          <w:sz w:val="11"/>
        </w:rPr>
        <w:t>9</w:t>
      </w:r>
      <w:r>
        <w:rPr>
          <w:spacing w:val="-2"/>
        </w:rPr>
        <w:t>/L；</w:t>
      </w:r>
    </w:p>
    <w:p>
      <w:pPr>
        <w:pStyle w:val="BodyText"/>
        <w:spacing w:before="43"/>
      </w:pPr>
      <w:r>
        <w:rPr>
          <w:spacing w:val="-2"/>
        </w:rPr>
        <w:t>（3）</w:t>
      </w:r>
      <w:r>
        <w:rPr>
          <w:spacing w:val="-3"/>
        </w:rPr>
        <w:t>外周血原始细胞≥</w:t>
      </w:r>
      <w:r>
        <w:rPr>
          <w:spacing w:val="-4"/>
        </w:rPr>
        <w:t>1%；</w:t>
      </w:r>
    </w:p>
    <w:p>
      <w:pPr>
        <w:pStyle w:val="BodyText"/>
        <w:spacing w:before="33"/>
      </w:pPr>
      <w:r>
        <w:rPr>
          <w:spacing w:val="-2"/>
        </w:rPr>
        <w:t>（4）血小板计数&lt;100×10</w:t>
      </w:r>
      <w:r>
        <w:rPr>
          <w:spacing w:val="-2"/>
          <w:position w:val="11"/>
          <w:sz w:val="11"/>
        </w:rPr>
        <w:t>9</w:t>
      </w:r>
      <w:r>
        <w:rPr>
          <w:spacing w:val="-2"/>
        </w:rPr>
        <w:t>/L</w:t>
      </w:r>
      <w:r>
        <w:rPr>
          <w:spacing w:val="-10"/>
        </w:rPr>
        <w:t>。</w:t>
      </w:r>
    </w:p>
    <w:p>
      <w:pPr>
        <w:pStyle w:val="Heading5"/>
        <w:spacing w:line="278" w:lineRule="auto" w:before="43"/>
        <w:ind w:right="4595"/>
      </w:pPr>
      <w:r>
        <w:rPr>
          <w:spacing w:val="-2"/>
        </w:rPr>
        <w:t>任何其他病因导致的继发性骨髓纤维化不在保障范围内。</w:t>
      </w:r>
      <w:r>
        <w:rPr>
          <w:spacing w:val="-2"/>
        </w:rPr>
        <w:t>六十七、严重获得性或继发性肺泡蛋白质沉积症</w:t>
      </w:r>
    </w:p>
    <w:p>
      <w:pPr>
        <w:pStyle w:val="BodyText"/>
        <w:spacing w:line="278" w:lineRule="auto"/>
        <w:ind w:right="1549"/>
      </w:pPr>
      <w:r>
        <w:rPr>
          <w:spacing w:val="-5"/>
        </w:rPr>
        <w:t>因获得性或继发性原因导致双肺肺泡和细支气管腔内充满不可溶性富磷脂蛋白的疾病。理赔</w:t>
      </w:r>
      <w:r>
        <w:rPr>
          <w:spacing w:val="-2"/>
        </w:rPr>
        <w:t>时须满足下列所有条件：</w:t>
      </w:r>
    </w:p>
    <w:p>
      <w:pPr>
        <w:pStyle w:val="ListParagraph"/>
        <w:numPr>
          <w:ilvl w:val="0"/>
          <w:numId w:val="49"/>
        </w:numPr>
        <w:tabs>
          <w:tab w:pos="767" w:val="left" w:leader="none"/>
        </w:tabs>
        <w:spacing w:line="278" w:lineRule="auto" w:before="0" w:after="0"/>
        <w:ind w:left="238" w:right="1549" w:firstLine="0"/>
        <w:jc w:val="left"/>
        <w:rPr>
          <w:sz w:val="21"/>
        </w:rPr>
      </w:pPr>
      <w:r>
        <w:rPr>
          <w:spacing w:val="-2"/>
          <w:sz w:val="21"/>
        </w:rPr>
        <w:t>支气管镜活检或开胸肺活检病理检查证实肺泡内充满有过碘酸雪夫（PAS）染色阳性</w:t>
      </w:r>
      <w:r>
        <w:rPr>
          <w:spacing w:val="-2"/>
          <w:sz w:val="21"/>
        </w:rPr>
        <w:t>的蛋白样物质；</w:t>
      </w:r>
    </w:p>
    <w:p>
      <w:pPr>
        <w:pStyle w:val="ListParagraph"/>
        <w:numPr>
          <w:ilvl w:val="0"/>
          <w:numId w:val="49"/>
        </w:numPr>
        <w:tabs>
          <w:tab w:pos="767" w:val="left" w:leader="none"/>
        </w:tabs>
        <w:spacing w:line="278" w:lineRule="auto" w:before="0" w:after="0"/>
        <w:ind w:left="238" w:right="1774" w:firstLine="0"/>
        <w:jc w:val="left"/>
        <w:rPr>
          <w:b/>
          <w:sz w:val="21"/>
        </w:rPr>
      </w:pPr>
      <w:r>
        <w:rPr>
          <w:spacing w:val="-2"/>
          <w:sz w:val="21"/>
        </w:rPr>
        <w:t>被保险人因中重度呼吸困难或低氧血症而实际已施行全身麻醉下的全肺灌洗治疗。</w:t>
      </w:r>
      <w:r>
        <w:rPr>
          <w:b/>
          <w:spacing w:val="-2"/>
          <w:sz w:val="21"/>
        </w:rPr>
        <w:t>六十八、严重慢性缩窄性心包炎</w:t>
      </w:r>
    </w:p>
    <w:p>
      <w:pPr>
        <w:pStyle w:val="BodyText"/>
        <w:spacing w:line="278" w:lineRule="auto"/>
        <w:ind w:right="1549"/>
      </w:pPr>
      <w:r>
        <w:rPr>
          <w:spacing w:val="-4"/>
        </w:rPr>
        <w:t>由于慢性心包炎症导致心包脏层和壁层广泛瘢痕粘连、增厚和钙化，心包腔闭塞，形成一个</w:t>
      </w:r>
      <w:r>
        <w:rPr>
          <w:spacing w:val="-2"/>
        </w:rPr>
        <w:t>纤维瘢痕外壳，使心脏和大血管根部受压，阻碍心脏的舒张。</w:t>
      </w:r>
    </w:p>
    <w:p>
      <w:pPr>
        <w:pStyle w:val="BodyText"/>
        <w:spacing w:line="269" w:lineRule="exact"/>
      </w:pPr>
      <w:r>
        <w:rPr>
          <w:spacing w:val="-3"/>
        </w:rPr>
        <w:t>被保险人被明确诊断为慢性缩窄性心包炎且必须满足以下所有条件：</w:t>
      </w:r>
    </w:p>
    <w:p>
      <w:pPr>
        <w:pStyle w:val="ListParagraph"/>
        <w:numPr>
          <w:ilvl w:val="0"/>
          <w:numId w:val="50"/>
        </w:numPr>
        <w:tabs>
          <w:tab w:pos="767" w:val="left" w:leader="none"/>
        </w:tabs>
        <w:spacing w:line="278" w:lineRule="auto" w:before="42" w:after="0"/>
        <w:ind w:left="238" w:right="1568" w:firstLine="0"/>
        <w:jc w:val="left"/>
        <w:rPr>
          <w:sz w:val="21"/>
        </w:rPr>
      </w:pPr>
      <w:r>
        <w:rPr>
          <w:sz w:val="21"/>
        </w:rPr>
        <w:t>心功能衰竭达到美国纽约心脏病学会（New</w:t>
      </w:r>
      <w:r>
        <w:rPr>
          <w:spacing w:val="-12"/>
          <w:sz w:val="21"/>
        </w:rPr>
        <w:t> </w:t>
      </w:r>
      <w:r>
        <w:rPr>
          <w:sz w:val="21"/>
        </w:rPr>
        <w:t>York</w:t>
      </w:r>
      <w:r>
        <w:rPr>
          <w:spacing w:val="-12"/>
          <w:sz w:val="21"/>
        </w:rPr>
        <w:t> </w:t>
      </w:r>
      <w:r>
        <w:rPr>
          <w:sz w:val="21"/>
        </w:rPr>
        <w:t>Heart</w:t>
      </w:r>
      <w:r>
        <w:rPr>
          <w:spacing w:val="-12"/>
          <w:sz w:val="21"/>
        </w:rPr>
        <w:t> </w:t>
      </w:r>
      <w:r>
        <w:rPr>
          <w:sz w:val="21"/>
        </w:rPr>
        <w:t>Association，NYHA）心功能</w:t>
      </w:r>
      <w:r>
        <w:rPr>
          <w:spacing w:val="-2"/>
          <w:sz w:val="21"/>
        </w:rPr>
        <w:t>状态分级Ⅳ级，并持续 </w:t>
      </w:r>
      <w:r>
        <w:rPr>
          <w:sz w:val="21"/>
        </w:rPr>
        <w:t>180</w:t>
      </w:r>
      <w:r>
        <w:rPr>
          <w:spacing w:val="-5"/>
          <w:sz w:val="21"/>
        </w:rPr>
        <w:t> 天以上；</w:t>
      </w:r>
    </w:p>
    <w:p>
      <w:pPr>
        <w:pStyle w:val="ListParagraph"/>
        <w:numPr>
          <w:ilvl w:val="0"/>
          <w:numId w:val="50"/>
        </w:numPr>
        <w:tabs>
          <w:tab w:pos="767" w:val="left" w:leader="none"/>
        </w:tabs>
        <w:spacing w:line="278" w:lineRule="auto" w:before="0" w:after="0"/>
        <w:ind w:left="238" w:right="1565" w:firstLine="0"/>
        <w:jc w:val="left"/>
        <w:rPr>
          <w:sz w:val="21"/>
        </w:rPr>
      </w:pPr>
      <w:r>
        <w:rPr>
          <w:spacing w:val="-2"/>
          <w:sz w:val="21"/>
        </w:rPr>
        <w:t>实际接受了以下任何一种手术路径的心包剥脱或心包切除手术；手术路径：胸骨正中</w:t>
      </w:r>
      <w:r>
        <w:rPr>
          <w:spacing w:val="-2"/>
          <w:sz w:val="21"/>
        </w:rPr>
        <w:t>切口；双侧前胸切口；左前胸肋间切口。</w:t>
      </w:r>
    </w:p>
    <w:p>
      <w:pPr>
        <w:pStyle w:val="Heading5"/>
        <w:spacing w:line="278" w:lineRule="auto"/>
        <w:ind w:right="3328"/>
      </w:pPr>
      <w:r>
        <w:rPr>
          <w:spacing w:val="-2"/>
        </w:rPr>
        <w:t>经胸腔镜、胸壁打孔进行的手术、心包粘连松解手术不在保障范围内。</w:t>
      </w:r>
      <w:r>
        <w:rPr>
          <w:spacing w:val="-2"/>
        </w:rPr>
        <w:t>六十九、脑型疟疾</w:t>
      </w:r>
    </w:p>
    <w:p>
      <w:pPr>
        <w:pStyle w:val="BodyText"/>
        <w:spacing w:line="278" w:lineRule="auto"/>
        <w:ind w:right="1549"/>
      </w:pPr>
      <w:r>
        <w:rPr>
          <w:spacing w:val="-4"/>
        </w:rPr>
        <w:t>恶性疟原虫严重感染导致的脑病或脑型疟疾，以昏迷为主要特征。脑型疟疾的诊断须由专科</w:t>
      </w:r>
      <w:r>
        <w:rPr>
          <w:spacing w:val="-2"/>
        </w:rPr>
        <w:t>医生确认，且外周血涂片存在恶性疟原虫。</w:t>
      </w:r>
    </w:p>
    <w:p>
      <w:pPr>
        <w:pStyle w:val="Heading5"/>
        <w:spacing w:line="278" w:lineRule="auto"/>
        <w:ind w:right="5858"/>
      </w:pPr>
      <w:r>
        <w:rPr>
          <w:spacing w:val="-2"/>
        </w:rPr>
        <w:t>其他明确病因导致的脑病不在保障范围内。</w:t>
      </w:r>
      <w:r>
        <w:rPr>
          <w:spacing w:val="-2"/>
        </w:rPr>
        <w:t>七十、胆道重建手术</w:t>
      </w:r>
    </w:p>
    <w:p>
      <w:pPr>
        <w:pStyle w:val="BodyText"/>
        <w:spacing w:line="278" w:lineRule="auto"/>
        <w:ind w:right="1548"/>
      </w:pPr>
      <w:r>
        <w:rPr>
          <w:spacing w:val="-6"/>
        </w:rPr>
        <w:t>指因胆道创伤导致接受涉及胆总管小肠吻合术的胆道重建手术。手术必须在专科医生认为是</w:t>
      </w:r>
      <w:r>
        <w:rPr>
          <w:spacing w:val="-2"/>
        </w:rPr>
        <w:t>医疗所需的情况下进行。</w:t>
      </w:r>
    </w:p>
    <w:p>
      <w:pPr>
        <w:pStyle w:val="Heading5"/>
        <w:spacing w:line="278" w:lineRule="auto"/>
        <w:ind w:right="7336"/>
      </w:pPr>
      <w:r>
        <w:rPr>
          <w:spacing w:val="-2"/>
        </w:rPr>
        <w:t>胆道闭锁</w:t>
      </w:r>
      <w:r>
        <w:rPr>
          <w:rFonts w:ascii="Arial" w:eastAsia="Arial"/>
          <w:spacing w:val="-2"/>
          <w:w w:val="115"/>
        </w:rPr>
        <w:t>不</w:t>
      </w:r>
      <w:r>
        <w:rPr>
          <w:spacing w:val="-14"/>
        </w:rPr>
        <w:t>在保障范围内。</w:t>
      </w:r>
      <w:r>
        <w:rPr>
          <w:spacing w:val="-3"/>
        </w:rPr>
        <w:t>七十一、严重结核性脑膜炎</w:t>
      </w:r>
    </w:p>
    <w:p>
      <w:pPr>
        <w:spacing w:after="0" w:line="278" w:lineRule="auto"/>
        <w:sectPr>
          <w:pgSz w:w="11910" w:h="16840"/>
          <w:pgMar w:header="0" w:footer="1005" w:top="1400" w:bottom="1200" w:left="1560" w:right="240"/>
        </w:sectPr>
      </w:pPr>
    </w:p>
    <w:p>
      <w:pPr>
        <w:pStyle w:val="BodyText"/>
        <w:spacing w:before="44"/>
      </w:pPr>
      <w:r>
        <w:rPr>
          <w:spacing w:val="-3"/>
        </w:rPr>
        <w:t>由结核杆菌引起的脑膜和脊膜的非化脓性炎症性疾病。需满足以下全部条件：</w:t>
      </w:r>
    </w:p>
    <w:p>
      <w:pPr>
        <w:pStyle w:val="ListParagraph"/>
        <w:numPr>
          <w:ilvl w:val="0"/>
          <w:numId w:val="51"/>
        </w:numPr>
        <w:tabs>
          <w:tab w:pos="767" w:val="left" w:leader="none"/>
        </w:tabs>
        <w:spacing w:line="240" w:lineRule="auto" w:before="43" w:after="0"/>
        <w:ind w:left="767" w:right="0" w:hanging="529"/>
        <w:jc w:val="left"/>
        <w:rPr>
          <w:sz w:val="21"/>
        </w:rPr>
      </w:pPr>
      <w:r>
        <w:rPr>
          <w:spacing w:val="-3"/>
          <w:sz w:val="21"/>
        </w:rPr>
        <w:t>出现颅内压明显增高，表现头痛、呕吐和视乳头水肿；</w:t>
      </w:r>
    </w:p>
    <w:p>
      <w:pPr>
        <w:pStyle w:val="ListParagraph"/>
        <w:numPr>
          <w:ilvl w:val="0"/>
          <w:numId w:val="51"/>
        </w:numPr>
        <w:tabs>
          <w:tab w:pos="767" w:val="left" w:leader="none"/>
        </w:tabs>
        <w:spacing w:line="240" w:lineRule="auto" w:before="43" w:after="0"/>
        <w:ind w:left="767" w:right="0" w:hanging="529"/>
        <w:jc w:val="left"/>
        <w:rPr>
          <w:sz w:val="21"/>
        </w:rPr>
      </w:pPr>
      <w:r>
        <w:rPr>
          <w:spacing w:val="-3"/>
          <w:sz w:val="21"/>
        </w:rPr>
        <w:t>出现部分性、全身性癫痫发作或癫痫持续状态；</w:t>
      </w:r>
    </w:p>
    <w:p>
      <w:pPr>
        <w:pStyle w:val="ListParagraph"/>
        <w:numPr>
          <w:ilvl w:val="0"/>
          <w:numId w:val="51"/>
        </w:numPr>
        <w:tabs>
          <w:tab w:pos="767" w:val="left" w:leader="none"/>
        </w:tabs>
        <w:spacing w:line="240" w:lineRule="auto" w:before="43" w:after="0"/>
        <w:ind w:left="767" w:right="0" w:hanging="529"/>
        <w:jc w:val="left"/>
        <w:rPr>
          <w:sz w:val="21"/>
        </w:rPr>
      </w:pPr>
      <w:r>
        <w:rPr>
          <w:spacing w:val="-4"/>
          <w:sz w:val="21"/>
        </w:rPr>
        <w:t>昏睡或意识模糊；</w:t>
      </w:r>
    </w:p>
    <w:p>
      <w:pPr>
        <w:pStyle w:val="ListParagraph"/>
        <w:numPr>
          <w:ilvl w:val="0"/>
          <w:numId w:val="51"/>
        </w:numPr>
        <w:tabs>
          <w:tab w:pos="767" w:val="left" w:leader="none"/>
        </w:tabs>
        <w:spacing w:line="278" w:lineRule="auto" w:before="43" w:after="0"/>
        <w:ind w:left="238" w:right="6397" w:firstLine="0"/>
        <w:jc w:val="left"/>
        <w:rPr>
          <w:b/>
          <w:sz w:val="21"/>
        </w:rPr>
      </w:pPr>
      <w:r>
        <w:rPr>
          <w:spacing w:val="-2"/>
          <w:sz w:val="21"/>
        </w:rPr>
        <w:t>视力减退、复视和面神经麻痹。</w:t>
      </w:r>
      <w:r>
        <w:rPr>
          <w:b/>
          <w:spacing w:val="-2"/>
          <w:sz w:val="21"/>
        </w:rPr>
        <w:t>七十二、严重肠道疾病并发症</w:t>
      </w:r>
    </w:p>
    <w:p>
      <w:pPr>
        <w:pStyle w:val="BodyText"/>
        <w:spacing w:line="269" w:lineRule="exact"/>
      </w:pPr>
      <w:r>
        <w:rPr>
          <w:spacing w:val="-3"/>
        </w:rPr>
        <w:t>严重肠道疾病或外伤导致小肠损害并发症，本疾病须满足以下所有条件：</w:t>
      </w:r>
    </w:p>
    <w:p>
      <w:pPr>
        <w:pStyle w:val="ListParagraph"/>
        <w:numPr>
          <w:ilvl w:val="0"/>
          <w:numId w:val="52"/>
        </w:numPr>
        <w:tabs>
          <w:tab w:pos="767" w:val="left" w:leader="none"/>
        </w:tabs>
        <w:spacing w:line="240" w:lineRule="auto" w:before="43" w:after="0"/>
        <w:ind w:left="767" w:right="0" w:hanging="529"/>
        <w:jc w:val="left"/>
        <w:rPr>
          <w:sz w:val="21"/>
        </w:rPr>
      </w:pPr>
      <w:r>
        <w:rPr>
          <w:spacing w:val="-3"/>
          <w:sz w:val="21"/>
        </w:rPr>
        <w:t>至少切除了三分之二小肠；</w:t>
      </w:r>
    </w:p>
    <w:p>
      <w:pPr>
        <w:pStyle w:val="ListParagraph"/>
        <w:numPr>
          <w:ilvl w:val="0"/>
          <w:numId w:val="52"/>
        </w:numPr>
        <w:tabs>
          <w:tab w:pos="767" w:val="left" w:leader="none"/>
        </w:tabs>
        <w:spacing w:line="278" w:lineRule="auto" w:before="43" w:after="0"/>
        <w:ind w:left="238" w:right="6397" w:firstLine="0"/>
        <w:jc w:val="left"/>
        <w:rPr>
          <w:b/>
          <w:sz w:val="21"/>
        </w:rPr>
      </w:pPr>
      <w:r>
        <w:rPr>
          <w:spacing w:val="-2"/>
          <w:sz w:val="21"/>
        </w:rPr>
        <w:t>完全肠外营养支持三个月以上。</w:t>
      </w:r>
      <w:r>
        <w:rPr>
          <w:b/>
          <w:spacing w:val="-2"/>
          <w:sz w:val="21"/>
        </w:rPr>
        <w:t>七十三、严重瑞氏综合征</w:t>
      </w:r>
    </w:p>
    <w:p>
      <w:pPr>
        <w:pStyle w:val="BodyText"/>
        <w:spacing w:line="278" w:lineRule="auto"/>
        <w:ind w:right="1551"/>
      </w:pPr>
      <w:r>
        <w:rPr>
          <w:spacing w:val="-4"/>
        </w:rPr>
        <w:t>瑞氏综合征是线粒体功能障碍性疾病。导致脂肪代谢障碍，引起短链脂肪酸、血氨升高，造</w:t>
      </w:r>
      <w:r>
        <w:rPr>
          <w:spacing w:val="-2"/>
        </w:rPr>
        <w:t>成脑水肿。主要临床表现为急性发热、反复呕吐、惊厥及意识障碍等。</w:t>
      </w:r>
    </w:p>
    <w:p>
      <w:pPr>
        <w:pStyle w:val="BodyText"/>
        <w:spacing w:line="278" w:lineRule="auto"/>
        <w:ind w:right="1549"/>
      </w:pPr>
      <w:r>
        <w:rPr>
          <w:spacing w:val="-4"/>
        </w:rPr>
        <w:t>肝脏活检是确诊的重要手段。瑞氏综合征需由三级医院的儿科专科医生确诊，并符合下列所</w:t>
      </w:r>
      <w:r>
        <w:rPr>
          <w:spacing w:val="-4"/>
        </w:rPr>
        <w:t>有条件：</w:t>
      </w:r>
    </w:p>
    <w:p>
      <w:pPr>
        <w:pStyle w:val="ListParagraph"/>
        <w:numPr>
          <w:ilvl w:val="0"/>
          <w:numId w:val="53"/>
        </w:numPr>
        <w:tabs>
          <w:tab w:pos="767" w:val="left" w:leader="none"/>
        </w:tabs>
        <w:spacing w:line="240" w:lineRule="auto" w:before="0" w:after="0"/>
        <w:ind w:left="767" w:right="0" w:hanging="529"/>
        <w:jc w:val="left"/>
        <w:rPr>
          <w:sz w:val="21"/>
        </w:rPr>
      </w:pPr>
      <w:r>
        <w:rPr>
          <w:spacing w:val="-3"/>
          <w:sz w:val="21"/>
        </w:rPr>
        <w:t>有脑水肿和颅内压升高的脑脊液检查和影像学检查证据；</w:t>
      </w:r>
    </w:p>
    <w:p>
      <w:pPr>
        <w:pStyle w:val="ListParagraph"/>
        <w:numPr>
          <w:ilvl w:val="0"/>
          <w:numId w:val="53"/>
        </w:numPr>
        <w:tabs>
          <w:tab w:pos="767" w:val="left" w:leader="none"/>
        </w:tabs>
        <w:spacing w:line="240" w:lineRule="auto" w:before="43" w:after="0"/>
        <w:ind w:left="767" w:right="0" w:hanging="529"/>
        <w:jc w:val="left"/>
        <w:rPr>
          <w:sz w:val="21"/>
        </w:rPr>
      </w:pPr>
      <w:r>
        <w:rPr>
          <w:spacing w:val="-8"/>
          <w:sz w:val="21"/>
        </w:rPr>
        <w:t>血氨超过正常值的 </w:t>
      </w:r>
      <w:r>
        <w:rPr>
          <w:spacing w:val="-2"/>
          <w:sz w:val="21"/>
        </w:rPr>
        <w:t>3</w:t>
      </w:r>
      <w:r>
        <w:rPr>
          <w:spacing w:val="-21"/>
          <w:sz w:val="21"/>
        </w:rPr>
        <w:t> 倍；</w:t>
      </w:r>
    </w:p>
    <w:p>
      <w:pPr>
        <w:pStyle w:val="ListParagraph"/>
        <w:numPr>
          <w:ilvl w:val="0"/>
          <w:numId w:val="53"/>
        </w:numPr>
        <w:tabs>
          <w:tab w:pos="767" w:val="left" w:leader="none"/>
        </w:tabs>
        <w:spacing w:line="278" w:lineRule="auto" w:before="43" w:after="0"/>
        <w:ind w:left="238" w:right="4931" w:firstLine="0"/>
        <w:jc w:val="left"/>
        <w:rPr>
          <w:b/>
          <w:sz w:val="21"/>
        </w:rPr>
      </w:pPr>
      <w:r>
        <w:rPr>
          <w:spacing w:val="-5"/>
          <w:sz w:val="21"/>
        </w:rPr>
        <w:t>临床出现昏迷，病程至少达到疾病分期第 </w:t>
      </w:r>
      <w:r>
        <w:rPr>
          <w:spacing w:val="-2"/>
          <w:sz w:val="21"/>
        </w:rPr>
        <w:t>3</w:t>
      </w:r>
      <w:r>
        <w:rPr>
          <w:spacing w:val="-19"/>
          <w:sz w:val="21"/>
        </w:rPr>
        <w:t> 期。</w:t>
      </w:r>
      <w:r>
        <w:rPr>
          <w:b/>
          <w:spacing w:val="-2"/>
          <w:sz w:val="21"/>
        </w:rPr>
        <w:t>七十四、严重骨髓异常增生综合征</w:t>
      </w:r>
    </w:p>
    <w:p>
      <w:pPr>
        <w:pStyle w:val="BodyText"/>
        <w:spacing w:line="278" w:lineRule="auto"/>
        <w:ind w:right="1445"/>
        <w:jc w:val="both"/>
      </w:pPr>
      <w:r>
        <w:rPr>
          <w:spacing w:val="-3"/>
          <w:w w:val="100"/>
        </w:rPr>
        <w:t>严重骨髓异常增生综合征是指符合世界卫生组织（W</w:t>
      </w:r>
      <w:r>
        <w:rPr>
          <w:w w:val="100"/>
        </w:rPr>
        <w:t>HO，W</w:t>
      </w:r>
      <w:r>
        <w:rPr>
          <w:spacing w:val="-3"/>
          <w:w w:val="100"/>
        </w:rPr>
        <w:t>o</w:t>
      </w:r>
      <w:r>
        <w:rPr>
          <w:w w:val="100"/>
        </w:rPr>
        <w:t>rld</w:t>
      </w:r>
      <w:r>
        <w:rPr>
          <w:spacing w:val="-46"/>
        </w:rPr>
        <w:t> </w:t>
      </w:r>
      <w:r>
        <w:rPr>
          <w:w w:val="100"/>
        </w:rPr>
        <w:t>H</w:t>
      </w:r>
      <w:r>
        <w:rPr>
          <w:spacing w:val="-3"/>
          <w:w w:val="100"/>
        </w:rPr>
        <w:t>e</w:t>
      </w:r>
      <w:r>
        <w:rPr>
          <w:w w:val="100"/>
        </w:rPr>
        <w:t>alth</w:t>
      </w:r>
      <w:r>
        <w:rPr>
          <w:spacing w:val="-46"/>
        </w:rPr>
        <w:t> </w:t>
      </w:r>
      <w:r>
        <w:rPr>
          <w:w w:val="100"/>
        </w:rPr>
        <w:t>O</w:t>
      </w:r>
      <w:r>
        <w:rPr>
          <w:spacing w:val="-3"/>
          <w:w w:val="100"/>
        </w:rPr>
        <w:t>r</w:t>
      </w:r>
      <w:r>
        <w:rPr>
          <w:w w:val="100"/>
        </w:rPr>
        <w:t>gan</w:t>
      </w:r>
      <w:r>
        <w:rPr>
          <w:spacing w:val="-3"/>
          <w:w w:val="100"/>
        </w:rPr>
        <w:t>iz</w:t>
      </w:r>
      <w:r>
        <w:rPr>
          <w:w w:val="100"/>
        </w:rPr>
        <w:t>atio</w:t>
      </w:r>
      <w:r>
        <w:rPr>
          <w:spacing w:val="-3"/>
          <w:w w:val="100"/>
        </w:rPr>
        <w:t>n</w:t>
      </w:r>
      <w:r>
        <w:rPr>
          <w:w w:val="100"/>
        </w:rPr>
        <w:t>）20</w:t>
      </w:r>
      <w:r>
        <w:rPr>
          <w:spacing w:val="-3"/>
          <w:w w:val="100"/>
        </w:rPr>
        <w:t>0</w:t>
      </w:r>
      <w:r>
        <w:rPr>
          <w:w w:val="100"/>
        </w:rPr>
        <w:t>8</w:t>
      </w:r>
      <w:r>
        <w:rPr>
          <w:spacing w:val="-3"/>
          <w:w w:val="100"/>
        </w:rPr>
        <w:t>年分型方案中的难治性贫血细胞减少伴原始细胞增多-</w:t>
      </w:r>
      <w:r>
        <w:rPr>
          <w:w w:val="100"/>
        </w:rPr>
        <w:t>1</w:t>
      </w:r>
      <w:r>
        <w:rPr>
          <w:spacing w:val="-3"/>
          <w:w w:val="100"/>
        </w:rPr>
        <w:t>（</w:t>
      </w:r>
      <w:r>
        <w:rPr>
          <w:w w:val="100"/>
        </w:rPr>
        <w:t>RAE</w:t>
      </w:r>
      <w:r>
        <w:rPr>
          <w:spacing w:val="-3"/>
          <w:w w:val="100"/>
        </w:rPr>
        <w:t>B</w:t>
      </w:r>
      <w:r>
        <w:rPr>
          <w:w w:val="100"/>
        </w:rPr>
        <w:t>-1</w:t>
      </w:r>
      <w:r>
        <w:rPr>
          <w:spacing w:val="-108"/>
          <w:w w:val="100"/>
        </w:rPr>
        <w:t>）</w:t>
      </w:r>
      <w:r>
        <w:rPr>
          <w:spacing w:val="-3"/>
          <w:w w:val="100"/>
        </w:rPr>
        <w:t>、难治性贫血细胞减少伴原始细胞增多-</w:t>
      </w:r>
      <w:r>
        <w:rPr>
          <w:spacing w:val="-41"/>
          <w:w w:val="100"/>
        </w:rPr>
        <w:t>2</w:t>
      </w:r>
      <w:r>
        <w:rPr>
          <w:w w:val="100"/>
        </w:rPr>
        <w:t>（</w:t>
      </w:r>
      <w:r>
        <w:rPr>
          <w:spacing w:val="-3"/>
          <w:w w:val="100"/>
        </w:rPr>
        <w:t>R</w:t>
      </w:r>
      <w:r>
        <w:rPr>
          <w:w w:val="100"/>
        </w:rPr>
        <w:t>AE</w:t>
      </w:r>
      <w:r>
        <w:rPr>
          <w:spacing w:val="-1"/>
          <w:w w:val="100"/>
        </w:rPr>
        <w:t>B</w:t>
      </w:r>
      <w:r>
        <w:rPr>
          <w:spacing w:val="-3"/>
          <w:w w:val="100"/>
        </w:rPr>
        <w:t>-</w:t>
      </w:r>
      <w:r>
        <w:rPr>
          <w:w w:val="100"/>
        </w:rPr>
        <w:t>2</w:t>
      </w:r>
      <w:r>
        <w:rPr>
          <w:spacing w:val="-108"/>
          <w:w w:val="100"/>
        </w:rPr>
        <w:t>）</w:t>
      </w:r>
      <w:r>
        <w:rPr>
          <w:spacing w:val="-39"/>
          <w:w w:val="100"/>
        </w:rPr>
        <w:t>、</w:t>
      </w:r>
      <w:r>
        <w:rPr>
          <w:w w:val="100"/>
        </w:rPr>
        <w:t>MD</w:t>
      </w:r>
      <w:r>
        <w:rPr>
          <w:spacing w:val="-3"/>
          <w:w w:val="100"/>
        </w:rPr>
        <w:t>S</w:t>
      </w:r>
      <w:r>
        <w:rPr>
          <w:spacing w:val="-12"/>
          <w:w w:val="100"/>
        </w:rPr>
        <w:t>-未分类</w:t>
      </w:r>
      <w:r>
        <w:rPr>
          <w:spacing w:val="-1"/>
          <w:w w:val="100"/>
        </w:rPr>
        <w:t>（</w:t>
      </w:r>
      <w:r>
        <w:rPr>
          <w:w w:val="100"/>
        </w:rPr>
        <w:t>MD</w:t>
      </w:r>
      <w:r>
        <w:rPr>
          <w:spacing w:val="-3"/>
          <w:w w:val="100"/>
        </w:rPr>
        <w:t>S</w:t>
      </w:r>
      <w:r>
        <w:rPr>
          <w:w w:val="100"/>
        </w:rPr>
        <w:t>-U</w:t>
      </w:r>
      <w:r>
        <w:rPr>
          <w:spacing w:val="-108"/>
          <w:w w:val="100"/>
        </w:rPr>
        <w:t>）</w:t>
      </w:r>
      <w:r>
        <w:rPr>
          <w:spacing w:val="-39"/>
          <w:w w:val="100"/>
        </w:rPr>
        <w:t>、</w:t>
      </w:r>
      <w:r>
        <w:rPr>
          <w:w w:val="100"/>
        </w:rPr>
        <w:t>M</w:t>
      </w:r>
      <w:r>
        <w:rPr>
          <w:spacing w:val="-3"/>
          <w:w w:val="100"/>
        </w:rPr>
        <w:t>D</w:t>
      </w:r>
      <w:r>
        <w:rPr>
          <w:w w:val="100"/>
        </w:rPr>
        <w:t>S</w:t>
      </w:r>
      <w:r>
        <w:rPr>
          <w:spacing w:val="-52"/>
        </w:rPr>
        <w:t> </w:t>
      </w:r>
      <w:r>
        <w:rPr>
          <w:spacing w:val="-2"/>
          <w:w w:val="100"/>
        </w:rPr>
        <w:t>伴单纯</w:t>
      </w:r>
      <w:r>
        <w:rPr>
          <w:spacing w:val="-53"/>
        </w:rPr>
        <w:t> </w:t>
      </w:r>
      <w:r>
        <w:rPr>
          <w:w w:val="100"/>
        </w:rPr>
        <w:t>5</w:t>
      </w:r>
      <w:r>
        <w:rPr>
          <w:spacing w:val="-3"/>
          <w:w w:val="100"/>
        </w:rPr>
        <w:t>q</w:t>
      </w:r>
      <w:r>
        <w:rPr>
          <w:spacing w:val="-8"/>
          <w:w w:val="100"/>
        </w:rPr>
        <w:t>-，且需满足下列所有条件：</w:t>
      </w:r>
    </w:p>
    <w:p>
      <w:pPr>
        <w:pStyle w:val="ListParagraph"/>
        <w:numPr>
          <w:ilvl w:val="0"/>
          <w:numId w:val="54"/>
        </w:numPr>
        <w:tabs>
          <w:tab w:pos="765" w:val="left" w:leader="none"/>
        </w:tabs>
        <w:spacing w:line="269" w:lineRule="exact" w:before="0" w:after="0"/>
        <w:ind w:left="764" w:right="0" w:hanging="527"/>
        <w:jc w:val="left"/>
        <w:rPr>
          <w:sz w:val="21"/>
        </w:rPr>
      </w:pPr>
      <w:r>
        <w:rPr>
          <w:spacing w:val="-5"/>
          <w:sz w:val="21"/>
        </w:rPr>
        <w:t>由我们认可的医院中设有专门血液病专科的公立三级甲等医院，血液病专科医生确诊；</w:t>
      </w:r>
    </w:p>
    <w:p>
      <w:pPr>
        <w:pStyle w:val="ListParagraph"/>
        <w:numPr>
          <w:ilvl w:val="0"/>
          <w:numId w:val="54"/>
        </w:numPr>
        <w:tabs>
          <w:tab w:pos="767" w:val="left" w:leader="none"/>
        </w:tabs>
        <w:spacing w:line="240" w:lineRule="auto" w:before="43" w:after="0"/>
        <w:ind w:left="767" w:right="0" w:hanging="529"/>
        <w:jc w:val="left"/>
        <w:rPr>
          <w:sz w:val="21"/>
        </w:rPr>
      </w:pPr>
      <w:r>
        <w:rPr>
          <w:spacing w:val="-3"/>
          <w:sz w:val="21"/>
        </w:rPr>
        <w:t>骨髓穿刺或骨髓活检结果支持诊断；</w:t>
      </w:r>
    </w:p>
    <w:p>
      <w:pPr>
        <w:pStyle w:val="ListParagraph"/>
        <w:numPr>
          <w:ilvl w:val="0"/>
          <w:numId w:val="54"/>
        </w:numPr>
        <w:tabs>
          <w:tab w:pos="767" w:val="left" w:leader="none"/>
        </w:tabs>
        <w:spacing w:line="278" w:lineRule="auto" w:before="43" w:after="0"/>
        <w:ind w:left="238" w:right="3457" w:firstLine="0"/>
        <w:jc w:val="left"/>
        <w:rPr>
          <w:b/>
          <w:sz w:val="21"/>
        </w:rPr>
      </w:pPr>
      <w:r>
        <w:rPr>
          <w:spacing w:val="-2"/>
          <w:sz w:val="21"/>
        </w:rPr>
        <w:t>被保险人已持续接受一个月以上的化疗或已接受骨髓移植治疗。</w:t>
      </w:r>
      <w:r>
        <w:rPr>
          <w:b/>
          <w:spacing w:val="-2"/>
          <w:sz w:val="21"/>
        </w:rPr>
        <w:t>七十五、严重面部烧伤</w:t>
      </w:r>
    </w:p>
    <w:p>
      <w:pPr>
        <w:pStyle w:val="BodyText"/>
        <w:spacing w:line="278" w:lineRule="auto"/>
        <w:ind w:right="1445"/>
      </w:pPr>
      <w:r>
        <w:rPr>
          <w:spacing w:val="-1"/>
        </w:rPr>
        <w:t>指面部烧伤程度为Ⅲ度，且Ⅲ度烧伤的面积达到面部表面积的 </w:t>
      </w:r>
      <w:r>
        <w:rPr/>
        <w:t>80</w:t>
      </w:r>
      <w:r>
        <w:rPr>
          <w:spacing w:val="-3"/>
        </w:rPr>
        <w:t>%或 </w:t>
      </w:r>
      <w:r>
        <w:rPr/>
        <w:t>80%以上。面部的范围</w:t>
      </w:r>
      <w:r>
        <w:rPr>
          <w:spacing w:val="-6"/>
        </w:rPr>
        <w:t>指上至发际、下至下颌下缘、两侧至下颌支后缘之间的区域，包括额部、眼部、眶部、鼻部、</w:t>
      </w:r>
      <w:r>
        <w:rPr>
          <w:spacing w:val="-2"/>
        </w:rPr>
        <w:t>口唇部、颏部、颧部、颊部和腮腺咬肌部。</w:t>
      </w:r>
    </w:p>
    <w:p>
      <w:pPr>
        <w:pStyle w:val="Heading5"/>
        <w:spacing w:line="269" w:lineRule="exact"/>
      </w:pPr>
      <w:r>
        <w:rPr>
          <w:spacing w:val="-3"/>
        </w:rPr>
        <w:t>七十六、严重川崎病</w:t>
      </w:r>
    </w:p>
    <w:p>
      <w:pPr>
        <w:pStyle w:val="BodyText"/>
        <w:spacing w:line="278" w:lineRule="auto" w:before="43"/>
        <w:ind w:right="1551"/>
      </w:pPr>
      <w:r>
        <w:rPr>
          <w:spacing w:val="-4"/>
        </w:rPr>
        <w:t>是一种血管炎综合征，临床表现为急性发热，皮肤粘膜病损和淋巴结肿大。本病须经专科医</w:t>
      </w:r>
      <w:r>
        <w:rPr>
          <w:spacing w:val="-2"/>
        </w:rPr>
        <w:t>生明确诊断，同时须由血管造影或超声心动图检查证实，满足下列至少一项条件：</w:t>
      </w:r>
    </w:p>
    <w:p>
      <w:pPr>
        <w:pStyle w:val="ListParagraph"/>
        <w:numPr>
          <w:ilvl w:val="0"/>
          <w:numId w:val="55"/>
        </w:numPr>
        <w:tabs>
          <w:tab w:pos="767" w:val="left" w:leader="none"/>
        </w:tabs>
        <w:spacing w:line="269" w:lineRule="exact" w:before="0" w:after="0"/>
        <w:ind w:left="767" w:right="0" w:hanging="529"/>
        <w:jc w:val="left"/>
        <w:rPr>
          <w:sz w:val="21"/>
        </w:rPr>
      </w:pPr>
      <w:r>
        <w:rPr>
          <w:spacing w:val="-4"/>
          <w:sz w:val="21"/>
        </w:rPr>
        <w:t>伴有冠状动脉瘤，且冠状动脉瘤于最初急性发病后持续至少 </w:t>
      </w:r>
      <w:r>
        <w:rPr>
          <w:spacing w:val="-2"/>
          <w:sz w:val="21"/>
        </w:rPr>
        <w:t>180</w:t>
      </w:r>
      <w:r>
        <w:rPr>
          <w:spacing w:val="-19"/>
          <w:sz w:val="21"/>
        </w:rPr>
        <w:t> 天；</w:t>
      </w:r>
    </w:p>
    <w:p>
      <w:pPr>
        <w:pStyle w:val="ListParagraph"/>
        <w:numPr>
          <w:ilvl w:val="0"/>
          <w:numId w:val="55"/>
        </w:numPr>
        <w:tabs>
          <w:tab w:pos="767" w:val="left" w:leader="none"/>
        </w:tabs>
        <w:spacing w:line="278" w:lineRule="auto" w:before="43" w:after="0"/>
        <w:ind w:left="238" w:right="3457" w:firstLine="0"/>
        <w:jc w:val="left"/>
        <w:rPr>
          <w:b/>
          <w:sz w:val="21"/>
        </w:rPr>
      </w:pPr>
      <w:r>
        <w:rPr>
          <w:spacing w:val="-2"/>
          <w:sz w:val="21"/>
        </w:rPr>
        <w:t>伴有冠状动脉瘤，且实际接受了对冠状动脉瘤进行的手术治疗。</w:t>
      </w:r>
      <w:r>
        <w:rPr>
          <w:b/>
          <w:spacing w:val="-2"/>
          <w:sz w:val="21"/>
        </w:rPr>
        <w:t>七十七、重症手足口病</w:t>
      </w:r>
    </w:p>
    <w:p>
      <w:pPr>
        <w:pStyle w:val="BodyText"/>
        <w:spacing w:line="278" w:lineRule="auto"/>
        <w:ind w:right="1549"/>
      </w:pPr>
      <w:r>
        <w:rPr>
          <w:spacing w:val="-4"/>
        </w:rPr>
        <w:t>由肠道病毒引起的急性传染病，主要症状表现为手、足、口腔等部位的斑丘疹、疱疹。经我</w:t>
      </w:r>
      <w:r>
        <w:rPr>
          <w:spacing w:val="-2"/>
        </w:rPr>
        <w:t>们认可的医院的专科医生确诊为患有手足口病，并伴有下列三项中的任意一项并发症：</w:t>
      </w:r>
    </w:p>
    <w:p>
      <w:pPr>
        <w:pStyle w:val="ListParagraph"/>
        <w:numPr>
          <w:ilvl w:val="0"/>
          <w:numId w:val="56"/>
        </w:numPr>
        <w:tabs>
          <w:tab w:pos="767" w:val="left" w:leader="none"/>
        </w:tabs>
        <w:spacing w:line="269" w:lineRule="exact" w:before="0" w:after="0"/>
        <w:ind w:left="767" w:right="0" w:hanging="529"/>
        <w:jc w:val="left"/>
        <w:rPr>
          <w:sz w:val="21"/>
        </w:rPr>
      </w:pPr>
      <w:r>
        <w:rPr>
          <w:spacing w:val="-3"/>
          <w:sz w:val="21"/>
        </w:rPr>
        <w:t>有脑膜炎或脑炎并发症，且导致意识障碍或瘫痪的临床表现及实验室检查证据；</w:t>
      </w:r>
    </w:p>
    <w:p>
      <w:pPr>
        <w:pStyle w:val="ListParagraph"/>
        <w:numPr>
          <w:ilvl w:val="0"/>
          <w:numId w:val="56"/>
        </w:numPr>
        <w:tabs>
          <w:tab w:pos="767" w:val="left" w:leader="none"/>
        </w:tabs>
        <w:spacing w:line="240" w:lineRule="auto" w:before="43" w:after="0"/>
        <w:ind w:left="767" w:right="0" w:hanging="529"/>
        <w:jc w:val="left"/>
        <w:rPr>
          <w:sz w:val="21"/>
        </w:rPr>
      </w:pPr>
      <w:r>
        <w:rPr>
          <w:spacing w:val="-3"/>
          <w:sz w:val="21"/>
        </w:rPr>
        <w:t>有肺炎或肺水肿并发症，且导致呼吸衰竭的临床表现及实验室检查证据；</w:t>
      </w:r>
    </w:p>
    <w:p>
      <w:pPr>
        <w:pStyle w:val="ListParagraph"/>
        <w:numPr>
          <w:ilvl w:val="0"/>
          <w:numId w:val="56"/>
        </w:numPr>
        <w:tabs>
          <w:tab w:pos="767" w:val="left" w:leader="none"/>
        </w:tabs>
        <w:spacing w:line="278" w:lineRule="auto" w:before="43" w:after="0"/>
        <w:ind w:left="238" w:right="2405" w:firstLine="0"/>
        <w:jc w:val="left"/>
        <w:rPr>
          <w:b/>
          <w:sz w:val="21"/>
        </w:rPr>
      </w:pPr>
      <w:r>
        <w:rPr>
          <w:spacing w:val="-2"/>
          <w:sz w:val="21"/>
        </w:rPr>
        <w:t>有心肌炎并发症，且导致心脏扩大或心力衰竭的临床表现及实验室检查证。</w:t>
      </w:r>
      <w:r>
        <w:rPr>
          <w:b/>
          <w:spacing w:val="-2"/>
          <w:sz w:val="21"/>
        </w:rPr>
        <w:t>七十八、严重哮喘</w:t>
      </w:r>
    </w:p>
    <w:p>
      <w:pPr>
        <w:pStyle w:val="BodyText"/>
        <w:spacing w:line="278" w:lineRule="auto"/>
        <w:ind w:right="1549"/>
      </w:pPr>
      <w:r>
        <w:rPr>
          <w:spacing w:val="-4"/>
        </w:rPr>
        <w:t>指一种反复发作的严重支气管阻塞性疾病，经本公司认可的专科医生确诊，且必须同时符合</w:t>
      </w:r>
      <w:r>
        <w:rPr>
          <w:spacing w:val="-2"/>
        </w:rPr>
        <w:t>下列全部标准：</w:t>
      </w:r>
    </w:p>
    <w:p>
      <w:pPr>
        <w:pStyle w:val="ListParagraph"/>
        <w:numPr>
          <w:ilvl w:val="0"/>
          <w:numId w:val="57"/>
        </w:numPr>
        <w:tabs>
          <w:tab w:pos="767" w:val="left" w:leader="none"/>
        </w:tabs>
        <w:spacing w:line="269" w:lineRule="exact" w:before="0" w:after="0"/>
        <w:ind w:left="767" w:right="0" w:hanging="529"/>
        <w:jc w:val="left"/>
        <w:rPr>
          <w:sz w:val="21"/>
        </w:rPr>
      </w:pPr>
      <w:r>
        <w:rPr>
          <w:spacing w:val="-3"/>
          <w:sz w:val="21"/>
        </w:rPr>
        <w:t>过去两年中曾因哮喘持续状态住院治疗，并提供完整住院记录；</w:t>
      </w:r>
    </w:p>
    <w:p>
      <w:pPr>
        <w:pStyle w:val="ListParagraph"/>
        <w:numPr>
          <w:ilvl w:val="0"/>
          <w:numId w:val="57"/>
        </w:numPr>
        <w:tabs>
          <w:tab w:pos="767" w:val="left" w:leader="none"/>
        </w:tabs>
        <w:spacing w:line="240" w:lineRule="auto" w:before="43" w:after="0"/>
        <w:ind w:left="767" w:right="0" w:hanging="529"/>
        <w:jc w:val="left"/>
        <w:rPr>
          <w:sz w:val="21"/>
        </w:rPr>
      </w:pPr>
      <w:r>
        <w:rPr>
          <w:spacing w:val="-3"/>
          <w:sz w:val="21"/>
        </w:rPr>
        <w:t>因慢性过度换气导致胸廓畸形；</w:t>
      </w:r>
    </w:p>
    <w:p>
      <w:pPr>
        <w:spacing w:after="0" w:line="240" w:lineRule="auto"/>
        <w:jc w:val="left"/>
        <w:rPr>
          <w:sz w:val="21"/>
        </w:rPr>
        <w:sectPr>
          <w:pgSz w:w="11910" w:h="16840"/>
          <w:pgMar w:header="0" w:footer="1005" w:top="1400" w:bottom="1200" w:left="1560" w:right="240"/>
        </w:sectPr>
      </w:pPr>
    </w:p>
    <w:p>
      <w:pPr>
        <w:pStyle w:val="ListParagraph"/>
        <w:numPr>
          <w:ilvl w:val="0"/>
          <w:numId w:val="57"/>
        </w:numPr>
        <w:tabs>
          <w:tab w:pos="767" w:val="left" w:leader="none"/>
        </w:tabs>
        <w:spacing w:line="240" w:lineRule="auto" w:before="44" w:after="0"/>
        <w:ind w:left="767" w:right="0" w:hanging="529"/>
        <w:jc w:val="left"/>
        <w:rPr>
          <w:sz w:val="21"/>
        </w:rPr>
      </w:pPr>
      <w:r>
        <w:rPr>
          <w:spacing w:val="-3"/>
          <w:sz w:val="21"/>
        </w:rPr>
        <w:t>在家中需要医生处方的氧气治疗法；</w:t>
      </w:r>
    </w:p>
    <w:p>
      <w:pPr>
        <w:pStyle w:val="ListParagraph"/>
        <w:numPr>
          <w:ilvl w:val="0"/>
          <w:numId w:val="57"/>
        </w:numPr>
        <w:tabs>
          <w:tab w:pos="767" w:val="left" w:leader="none"/>
        </w:tabs>
        <w:spacing w:line="278" w:lineRule="auto" w:before="43" w:after="0"/>
        <w:ind w:left="238" w:right="4506" w:firstLine="0"/>
        <w:jc w:val="left"/>
        <w:rPr>
          <w:b/>
          <w:sz w:val="21"/>
        </w:rPr>
      </w:pPr>
      <w:r>
        <w:rPr>
          <w:spacing w:val="-2"/>
          <w:sz w:val="21"/>
        </w:rPr>
        <w:t>持续日常服用口服类固醇激素治疗持续至少六个月。</w:t>
      </w:r>
      <w:r>
        <w:rPr>
          <w:b/>
          <w:spacing w:val="-2"/>
          <w:sz w:val="21"/>
        </w:rPr>
        <w:t>七十九、成骨不全症</w:t>
      </w:r>
    </w:p>
    <w:p>
      <w:pPr>
        <w:pStyle w:val="BodyText"/>
        <w:spacing w:line="278" w:lineRule="auto"/>
        <w:ind w:right="1460"/>
      </w:pPr>
      <w:r>
        <w:rPr>
          <w:spacing w:val="-2"/>
        </w:rPr>
        <w:t>指一种胶原病，特征为骨易碎，骨质疏松和易骨折。该病有 </w:t>
      </w:r>
      <w:r>
        <w:rPr/>
        <w:t>4</w:t>
      </w:r>
      <w:r>
        <w:rPr>
          <w:spacing w:val="-8"/>
        </w:rPr>
        <w:t> 种类型：Ⅰ型、Ⅱ型、Ⅲ型、</w:t>
      </w:r>
      <w:r>
        <w:rPr/>
        <w:t> </w:t>
      </w:r>
      <w:r>
        <w:rPr>
          <w:spacing w:val="-2"/>
        </w:rPr>
        <w:t>Ⅳ型。</w:t>
      </w:r>
      <w:r>
        <w:rPr>
          <w:b/>
          <w:spacing w:val="-2"/>
        </w:rPr>
        <w:t>只保障Ⅲ型成骨不全的情形。</w:t>
      </w:r>
      <w:r>
        <w:rPr>
          <w:spacing w:val="-2"/>
        </w:rPr>
        <w:t>其主要临床特点有：发展迟缓、多发性骨折、进行性脊</w:t>
      </w:r>
      <w:r>
        <w:rPr/>
        <w:t>柱后侧凸及听力损害。Ⅲ型成骨不全的诊断必须根据身体检查，家族史，X</w:t>
      </w:r>
      <w:r>
        <w:rPr>
          <w:spacing w:val="-7"/>
        </w:rPr>
        <w:t> 线检查和皮肤活</w:t>
      </w:r>
      <w:r>
        <w:rPr>
          <w:spacing w:val="-2"/>
        </w:rPr>
        <w:t>检报告资料确诊。</w:t>
      </w:r>
    </w:p>
    <w:p>
      <w:pPr>
        <w:pStyle w:val="Heading5"/>
        <w:spacing w:line="278" w:lineRule="auto"/>
        <w:ind w:right="1549"/>
      </w:pPr>
      <w:r>
        <w:rPr>
          <w:spacing w:val="-2"/>
        </w:rPr>
        <w:t>本公司承担本项疾病责任不受本合同责任免除中“遗传性疾病，先天性畸形、变形或染色</w:t>
      </w:r>
      <w:r>
        <w:rPr>
          <w:spacing w:val="-2"/>
        </w:rPr>
        <w:t>体异常”的限制。</w:t>
      </w:r>
    </w:p>
    <w:p>
      <w:pPr>
        <w:spacing w:line="269" w:lineRule="exact" w:before="0"/>
        <w:ind w:left="238" w:right="0" w:firstLine="0"/>
        <w:jc w:val="left"/>
        <w:rPr>
          <w:b/>
          <w:sz w:val="21"/>
        </w:rPr>
      </w:pPr>
      <w:r>
        <w:rPr>
          <w:b/>
          <w:w w:val="95"/>
          <w:sz w:val="21"/>
        </w:rPr>
        <w:t>八</w:t>
      </w:r>
      <w:r>
        <w:rPr>
          <w:b/>
          <w:w w:val="95"/>
          <w:sz w:val="21"/>
        </w:rPr>
        <w:t>十</w:t>
      </w:r>
      <w:r>
        <w:rPr>
          <w:b/>
          <w:w w:val="95"/>
          <w:sz w:val="21"/>
        </w:rPr>
        <w:t>、</w:t>
      </w:r>
      <w:r>
        <w:rPr>
          <w:b/>
          <w:w w:val="95"/>
          <w:sz w:val="21"/>
        </w:rPr>
        <w:t>器</w:t>
      </w:r>
      <w:r>
        <w:rPr>
          <w:b/>
          <w:w w:val="95"/>
          <w:sz w:val="21"/>
        </w:rPr>
        <w:t>官</w:t>
      </w:r>
      <w:r>
        <w:rPr>
          <w:b/>
          <w:w w:val="95"/>
          <w:sz w:val="21"/>
        </w:rPr>
        <w:t>移</w:t>
      </w:r>
      <w:r>
        <w:rPr>
          <w:b/>
          <w:w w:val="95"/>
          <w:sz w:val="21"/>
        </w:rPr>
        <w:t>植</w:t>
      </w:r>
      <w:r>
        <w:rPr>
          <w:b/>
          <w:w w:val="95"/>
          <w:sz w:val="21"/>
        </w:rPr>
        <w:t>导</w:t>
      </w:r>
      <w:r>
        <w:rPr>
          <w:b/>
          <w:w w:val="95"/>
          <w:sz w:val="21"/>
        </w:rPr>
        <w:t>致的人</w:t>
      </w:r>
      <w:r>
        <w:rPr>
          <w:b/>
          <w:w w:val="95"/>
          <w:sz w:val="21"/>
        </w:rPr>
        <w:t>类</w:t>
      </w:r>
      <w:r>
        <w:rPr>
          <w:b/>
          <w:w w:val="95"/>
          <w:sz w:val="21"/>
        </w:rPr>
        <w:t>免</w:t>
      </w:r>
      <w:r>
        <w:rPr>
          <w:b/>
          <w:w w:val="95"/>
          <w:sz w:val="21"/>
        </w:rPr>
        <w:t>疫</w:t>
      </w:r>
      <w:r>
        <w:rPr>
          <w:b/>
          <w:w w:val="95"/>
          <w:sz w:val="21"/>
        </w:rPr>
        <w:t>缺</w:t>
      </w:r>
      <w:r>
        <w:rPr>
          <w:b/>
          <w:w w:val="95"/>
          <w:sz w:val="21"/>
        </w:rPr>
        <w:t>陷</w:t>
      </w:r>
      <w:r>
        <w:rPr>
          <w:b/>
          <w:w w:val="95"/>
          <w:sz w:val="21"/>
        </w:rPr>
        <w:t>病</w:t>
      </w:r>
      <w:r>
        <w:rPr>
          <w:b/>
          <w:w w:val="95"/>
          <w:sz w:val="21"/>
        </w:rPr>
        <w:t>毒</w:t>
      </w:r>
      <w:r>
        <w:rPr>
          <w:b/>
          <w:w w:val="95"/>
          <w:sz w:val="21"/>
        </w:rPr>
        <w:t>（HIV）</w:t>
      </w:r>
      <w:r>
        <w:rPr>
          <w:b/>
          <w:spacing w:val="-5"/>
          <w:w w:val="95"/>
          <w:sz w:val="21"/>
        </w:rPr>
        <w:t>感染</w:t>
      </w:r>
    </w:p>
    <w:p>
      <w:pPr>
        <w:pStyle w:val="BodyText"/>
        <w:spacing w:before="43"/>
      </w:pPr>
      <w:r>
        <w:rPr>
          <w:spacing w:val="-6"/>
        </w:rPr>
        <w:t>指因进行器官移植而感染上人类免疫缺陷病毒</w:t>
      </w:r>
      <w:r>
        <w:rPr>
          <w:spacing w:val="11"/>
        </w:rPr>
        <w:t>（</w:t>
      </w:r>
      <w:r>
        <w:rPr>
          <w:spacing w:val="12"/>
        </w:rPr>
        <w:t>H</w:t>
      </w:r>
      <w:r>
        <w:rPr>
          <w:spacing w:val="9"/>
        </w:rPr>
        <w:t>IV</w:t>
      </w:r>
      <w:r>
        <w:rPr>
          <w:spacing w:val="-94"/>
        </w:rPr>
        <w:t>）</w:t>
      </w:r>
      <w:r>
        <w:rPr>
          <w:spacing w:val="-7"/>
        </w:rPr>
        <w:t>，且须满足下列全部条件：</w:t>
      </w:r>
    </w:p>
    <w:p>
      <w:pPr>
        <w:pStyle w:val="ListParagraph"/>
        <w:numPr>
          <w:ilvl w:val="0"/>
          <w:numId w:val="58"/>
        </w:numPr>
        <w:tabs>
          <w:tab w:pos="765" w:val="left" w:leader="none"/>
        </w:tabs>
        <w:spacing w:line="240" w:lineRule="auto" w:before="43" w:after="0"/>
        <w:ind w:left="764" w:right="0" w:hanging="527"/>
        <w:jc w:val="left"/>
        <w:rPr>
          <w:sz w:val="21"/>
        </w:rPr>
      </w:pPr>
      <w:r>
        <w:rPr>
          <w:spacing w:val="-11"/>
          <w:sz w:val="21"/>
        </w:rPr>
        <w:t>被保险人因治疗必须而实施器官移植，并且因器官移植而感染人类免疫缺陷病毒</w:t>
      </w:r>
      <w:r>
        <w:rPr>
          <w:spacing w:val="32"/>
          <w:sz w:val="21"/>
        </w:rPr>
        <w:t>（</w:t>
      </w:r>
      <w:r>
        <w:rPr>
          <w:spacing w:val="35"/>
          <w:sz w:val="21"/>
        </w:rPr>
        <w:t>HI</w:t>
      </w:r>
      <w:r>
        <w:rPr>
          <w:spacing w:val="32"/>
          <w:sz w:val="21"/>
        </w:rPr>
        <w:t>V</w:t>
      </w:r>
      <w:r>
        <w:rPr>
          <w:spacing w:val="-73"/>
          <w:sz w:val="21"/>
        </w:rPr>
        <w:t>）；</w:t>
      </w:r>
    </w:p>
    <w:p>
      <w:pPr>
        <w:pStyle w:val="ListParagraph"/>
        <w:numPr>
          <w:ilvl w:val="0"/>
          <w:numId w:val="58"/>
        </w:numPr>
        <w:tabs>
          <w:tab w:pos="767" w:val="left" w:leader="none"/>
        </w:tabs>
        <w:spacing w:line="278" w:lineRule="auto" w:before="43" w:after="0"/>
        <w:ind w:left="238" w:right="1565" w:firstLine="0"/>
        <w:jc w:val="left"/>
        <w:rPr>
          <w:sz w:val="21"/>
        </w:rPr>
      </w:pPr>
      <w:r>
        <w:rPr>
          <w:spacing w:val="-2"/>
          <w:sz w:val="21"/>
        </w:rPr>
        <w:t>提供器官移植治疗的器官移植中心或医院出具该项器官移植感染，属于医疗责任事故</w:t>
      </w:r>
      <w:r>
        <w:rPr>
          <w:spacing w:val="-2"/>
          <w:sz w:val="21"/>
        </w:rPr>
        <w:t>的报告，或者法院终审裁定为医疗责任并且不准上诉；</w:t>
      </w:r>
    </w:p>
    <w:p>
      <w:pPr>
        <w:pStyle w:val="ListParagraph"/>
        <w:numPr>
          <w:ilvl w:val="0"/>
          <w:numId w:val="58"/>
        </w:numPr>
        <w:tabs>
          <w:tab w:pos="767" w:val="left" w:leader="none"/>
        </w:tabs>
        <w:spacing w:line="240" w:lineRule="auto" w:before="0" w:after="0"/>
        <w:ind w:left="767" w:right="0" w:hanging="529"/>
        <w:jc w:val="left"/>
        <w:rPr>
          <w:sz w:val="21"/>
        </w:rPr>
      </w:pPr>
      <w:r>
        <w:rPr>
          <w:spacing w:val="-3"/>
          <w:sz w:val="21"/>
        </w:rPr>
        <w:t>提供器官移植治疗的器官移植中心或医院必须拥有合法经营执照。</w:t>
      </w:r>
    </w:p>
    <w:p>
      <w:pPr>
        <w:spacing w:line="278" w:lineRule="auto" w:before="43"/>
        <w:ind w:left="238" w:right="1643" w:firstLine="0"/>
        <w:jc w:val="left"/>
        <w:rPr>
          <w:b/>
          <w:sz w:val="21"/>
        </w:rPr>
      </w:pPr>
      <w:r>
        <w:rPr>
          <w:b/>
          <w:spacing w:val="-2"/>
          <w:sz w:val="21"/>
        </w:rPr>
        <w:t>保险公司必须拥有获得使用被保险人的所有血液样本的权利和能够对这些样本进行独立检</w:t>
      </w:r>
      <w:r>
        <w:rPr>
          <w:b/>
          <w:spacing w:val="-2"/>
          <w:sz w:val="21"/>
        </w:rPr>
        <w:t>验的权利。</w:t>
      </w:r>
    </w:p>
    <w:p>
      <w:pPr>
        <w:spacing w:line="278" w:lineRule="auto" w:before="0"/>
        <w:ind w:left="238" w:right="1552" w:firstLine="0"/>
        <w:jc w:val="left"/>
        <w:rPr>
          <w:b/>
          <w:sz w:val="21"/>
        </w:rPr>
      </w:pPr>
      <w:r>
        <w:rPr>
          <w:b/>
          <w:spacing w:val="-2"/>
          <w:sz w:val="21"/>
        </w:rPr>
        <w:t>在任何治愈艾滋病或阻止人类免疫缺陷病毒（HIV）病毒作用的疗法被发现以后，或能防止</w:t>
      </w:r>
      <w:r>
        <w:rPr>
          <w:b/>
          <w:spacing w:val="-2"/>
          <w:sz w:val="21"/>
        </w:rPr>
        <w:t>艾滋病发生的医疗方法被研究出来以后，本项疾病责任将不再予以赔付。</w:t>
      </w:r>
    </w:p>
    <w:p>
      <w:pPr>
        <w:spacing w:line="278" w:lineRule="auto" w:before="0"/>
        <w:ind w:left="238" w:right="1559" w:firstLine="0"/>
        <w:jc w:val="left"/>
        <w:rPr>
          <w:b/>
          <w:sz w:val="21"/>
        </w:rPr>
      </w:pPr>
      <w:r>
        <w:rPr>
          <w:b/>
          <w:spacing w:val="-2"/>
          <w:sz w:val="21"/>
        </w:rPr>
        <w:t>本公司承担本项疾病责任不受本合同责任免除中“被保险人感染艾滋病病毒或患艾滋病”</w:t>
      </w:r>
      <w:r>
        <w:rPr>
          <w:b/>
          <w:spacing w:val="-4"/>
          <w:sz w:val="21"/>
        </w:rPr>
        <w:t>的限制。</w:t>
      </w:r>
    </w:p>
    <w:p>
      <w:pPr>
        <w:spacing w:line="269" w:lineRule="exact" w:before="0"/>
        <w:ind w:left="238" w:right="0" w:firstLine="0"/>
        <w:jc w:val="left"/>
        <w:rPr>
          <w:b/>
          <w:sz w:val="21"/>
        </w:rPr>
      </w:pPr>
      <w:r>
        <w:rPr>
          <w:b/>
          <w:spacing w:val="-3"/>
          <w:sz w:val="21"/>
        </w:rPr>
        <w:t>八十一、进行性多灶性白质脑病</w:t>
      </w:r>
    </w:p>
    <w:p>
      <w:pPr>
        <w:pStyle w:val="BodyText"/>
        <w:spacing w:line="278" w:lineRule="auto" w:before="42"/>
        <w:ind w:right="1549"/>
      </w:pPr>
      <w:r>
        <w:rPr>
          <w:spacing w:val="-4"/>
        </w:rPr>
        <w:t>是一种亚急性脱髓鞘性脑病，常常发现于免疫缺陷的病人。必须由神经科专科医生根据脑组</w:t>
      </w:r>
      <w:r>
        <w:rPr>
          <w:spacing w:val="-2"/>
        </w:rPr>
        <w:t>织活检确诊。</w:t>
      </w:r>
    </w:p>
    <w:p>
      <w:pPr>
        <w:pStyle w:val="Heading5"/>
        <w:spacing w:line="269" w:lineRule="exact"/>
      </w:pPr>
      <w:r>
        <w:rPr>
          <w:spacing w:val="-3"/>
        </w:rPr>
        <w:t>八十二、脊髓小脑变性症</w:t>
      </w:r>
    </w:p>
    <w:p>
      <w:pPr>
        <w:pStyle w:val="BodyText"/>
        <w:spacing w:line="278" w:lineRule="auto" w:before="44"/>
        <w:ind w:right="1549"/>
      </w:pPr>
      <w:r>
        <w:rPr>
          <w:spacing w:val="-5"/>
        </w:rPr>
        <w:t>脊髓小脑变性症为一组以小脑萎缩和共济失调为主要临床特点的疾病。必须符合以下所有条</w:t>
      </w:r>
      <w:r>
        <w:rPr>
          <w:spacing w:val="-6"/>
        </w:rPr>
        <w:t>件：</w:t>
      </w:r>
    </w:p>
    <w:p>
      <w:pPr>
        <w:pStyle w:val="ListParagraph"/>
        <w:numPr>
          <w:ilvl w:val="0"/>
          <w:numId w:val="59"/>
        </w:numPr>
        <w:tabs>
          <w:tab w:pos="767" w:val="left" w:leader="none"/>
        </w:tabs>
        <w:spacing w:line="269" w:lineRule="exact" w:before="0" w:after="0"/>
        <w:ind w:left="767" w:right="0" w:hanging="529"/>
        <w:jc w:val="left"/>
        <w:rPr>
          <w:sz w:val="21"/>
        </w:rPr>
      </w:pPr>
      <w:r>
        <w:rPr>
          <w:spacing w:val="-3"/>
          <w:sz w:val="21"/>
        </w:rPr>
        <w:t>脊髓小脑变性症必须由医院诊断，并有以下证据支持：</w:t>
      </w:r>
    </w:p>
    <w:p>
      <w:pPr>
        <w:pStyle w:val="BodyText"/>
        <w:spacing w:before="43"/>
      </w:pPr>
      <w:r>
        <w:rPr>
          <w:spacing w:val="-3"/>
        </w:rPr>
        <w:t>①影像学检查证实存在小脑萎缩；</w:t>
      </w:r>
    </w:p>
    <w:p>
      <w:pPr>
        <w:pStyle w:val="BodyText"/>
        <w:spacing w:before="43"/>
      </w:pPr>
      <w:r>
        <w:rPr>
          <w:spacing w:val="-3"/>
        </w:rPr>
        <w:t>②临床表现存在共济失调、语言障碍和肌张力异常。</w:t>
      </w:r>
    </w:p>
    <w:p>
      <w:pPr>
        <w:pStyle w:val="ListParagraph"/>
        <w:numPr>
          <w:ilvl w:val="0"/>
          <w:numId w:val="59"/>
        </w:numPr>
        <w:tabs>
          <w:tab w:pos="767" w:val="left" w:leader="none"/>
        </w:tabs>
        <w:spacing w:line="278" w:lineRule="auto" w:before="43" w:after="0"/>
        <w:ind w:left="238" w:right="1549" w:firstLine="0"/>
        <w:jc w:val="left"/>
        <w:rPr>
          <w:sz w:val="21"/>
        </w:rPr>
      </w:pPr>
      <w:r>
        <w:rPr>
          <w:spacing w:val="-2"/>
          <w:sz w:val="21"/>
        </w:rPr>
        <w:t>被保险人运动功能严重障碍，自主生活能力完全丧失，无法独立完成六项基本日常生</w:t>
      </w:r>
      <w:r>
        <w:rPr>
          <w:spacing w:val="-2"/>
          <w:sz w:val="21"/>
        </w:rPr>
        <w:t>活活动中的三项或三项以上。</w:t>
      </w:r>
    </w:p>
    <w:p>
      <w:pPr>
        <w:pStyle w:val="Heading5"/>
        <w:spacing w:line="269" w:lineRule="exact"/>
      </w:pPr>
      <w:r>
        <w:rPr>
          <w:spacing w:val="-3"/>
        </w:rPr>
        <w:t>八十三、多处臂丛神经根性撕脱</w:t>
      </w:r>
    </w:p>
    <w:p>
      <w:pPr>
        <w:pStyle w:val="BodyText"/>
        <w:spacing w:line="278" w:lineRule="auto" w:before="42"/>
        <w:ind w:right="1549"/>
      </w:pPr>
      <w:r>
        <w:rPr>
          <w:spacing w:val="-7"/>
        </w:rPr>
        <w:t>由于疾病或意外导致至少两根臂丛神经根性撕脱，所造成的手臂感觉功能与运动功能完全永</w:t>
      </w:r>
      <w:r>
        <w:rPr>
          <w:spacing w:val="-2"/>
        </w:rPr>
        <w:t>久性丧失。该病须由医院专科医生明确诊断，并且有电生理检查结果证实。</w:t>
      </w:r>
    </w:p>
    <w:p>
      <w:pPr>
        <w:pStyle w:val="Heading5"/>
        <w:spacing w:line="269" w:lineRule="exact"/>
      </w:pPr>
      <w:r>
        <w:rPr>
          <w:spacing w:val="-3"/>
        </w:rPr>
        <w:t>八十四、艾森门格综合征</w:t>
      </w:r>
    </w:p>
    <w:p>
      <w:pPr>
        <w:pStyle w:val="BodyText"/>
        <w:spacing w:line="278" w:lineRule="auto" w:before="43"/>
        <w:ind w:right="1548"/>
      </w:pPr>
      <w:r>
        <w:rPr>
          <w:spacing w:val="-7"/>
        </w:rPr>
        <w:t>因心脏病导致的严重肺动脉高压及右向左分流。诊断必须由心脏专科医生经超声心动图和心</w:t>
      </w:r>
      <w:r>
        <w:rPr>
          <w:spacing w:val="-2"/>
        </w:rPr>
        <w:t>导管检查证实及需符合以下所有标准：</w:t>
      </w:r>
    </w:p>
    <w:p>
      <w:pPr>
        <w:pStyle w:val="ListParagraph"/>
        <w:numPr>
          <w:ilvl w:val="0"/>
          <w:numId w:val="60"/>
        </w:numPr>
        <w:tabs>
          <w:tab w:pos="767" w:val="left" w:leader="none"/>
        </w:tabs>
        <w:spacing w:line="240" w:lineRule="auto" w:before="1" w:after="0"/>
        <w:ind w:left="767" w:right="0" w:hanging="529"/>
        <w:jc w:val="left"/>
        <w:rPr>
          <w:sz w:val="21"/>
        </w:rPr>
      </w:pPr>
      <w:r>
        <w:rPr>
          <w:spacing w:val="-8"/>
          <w:sz w:val="21"/>
        </w:rPr>
        <w:t>平均肺动脉压高于 </w:t>
      </w:r>
      <w:r>
        <w:rPr>
          <w:spacing w:val="-2"/>
          <w:sz w:val="21"/>
        </w:rPr>
        <w:t>40mmHg；</w:t>
      </w:r>
    </w:p>
    <w:p>
      <w:pPr>
        <w:pStyle w:val="ListParagraph"/>
        <w:numPr>
          <w:ilvl w:val="0"/>
          <w:numId w:val="60"/>
        </w:numPr>
        <w:tabs>
          <w:tab w:pos="767" w:val="left" w:leader="none"/>
        </w:tabs>
        <w:spacing w:line="240" w:lineRule="auto" w:before="43" w:after="0"/>
        <w:ind w:left="767" w:right="0" w:hanging="529"/>
        <w:jc w:val="left"/>
        <w:rPr>
          <w:sz w:val="21"/>
        </w:rPr>
      </w:pPr>
      <w:r>
        <w:rPr>
          <w:spacing w:val="-8"/>
          <w:sz w:val="21"/>
        </w:rPr>
        <w:t>肺血管阻力高于 </w:t>
      </w:r>
      <w:r>
        <w:rPr>
          <w:spacing w:val="-2"/>
          <w:sz w:val="21"/>
        </w:rPr>
        <w:t>3mm/L/min（Wood</w:t>
      </w:r>
      <w:r>
        <w:rPr>
          <w:spacing w:val="-16"/>
          <w:sz w:val="21"/>
        </w:rPr>
        <w:t> 单位</w:t>
      </w:r>
      <w:r>
        <w:rPr>
          <w:spacing w:val="-113"/>
          <w:sz w:val="21"/>
        </w:rPr>
        <w:t>）</w:t>
      </w:r>
      <w:r>
        <w:rPr>
          <w:spacing w:val="-5"/>
          <w:sz w:val="21"/>
        </w:rPr>
        <w:t>；</w:t>
      </w:r>
    </w:p>
    <w:p>
      <w:pPr>
        <w:pStyle w:val="ListParagraph"/>
        <w:numPr>
          <w:ilvl w:val="0"/>
          <w:numId w:val="60"/>
        </w:numPr>
        <w:tabs>
          <w:tab w:pos="767" w:val="left" w:leader="none"/>
        </w:tabs>
        <w:spacing w:line="240" w:lineRule="auto" w:before="43" w:after="0"/>
        <w:ind w:left="767" w:right="0" w:hanging="529"/>
        <w:jc w:val="left"/>
        <w:rPr>
          <w:sz w:val="21"/>
        </w:rPr>
      </w:pPr>
      <w:r>
        <w:rPr>
          <w:spacing w:val="-6"/>
          <w:sz w:val="21"/>
        </w:rPr>
        <w:t>正常肺微血管楔压低于 </w:t>
      </w:r>
      <w:r>
        <w:rPr>
          <w:spacing w:val="-2"/>
          <w:sz w:val="21"/>
        </w:rPr>
        <w:t>15mmHg</w:t>
      </w:r>
      <w:r>
        <w:rPr>
          <w:spacing w:val="-10"/>
          <w:sz w:val="21"/>
        </w:rPr>
        <w:t>。</w:t>
      </w:r>
    </w:p>
    <w:p>
      <w:pPr>
        <w:pStyle w:val="Heading5"/>
        <w:spacing w:line="278" w:lineRule="auto" w:before="43"/>
        <w:ind w:right="1549"/>
      </w:pPr>
      <w:r>
        <w:rPr>
          <w:spacing w:val="-2"/>
        </w:rPr>
        <w:t>本公司承担本项疾病责任不受本合同责任免除中“遗传性疾病，先天性畸形、变形或染色</w:t>
      </w:r>
      <w:r>
        <w:rPr>
          <w:spacing w:val="-2"/>
        </w:rPr>
        <w:t>体异常”的限制。</w:t>
      </w:r>
    </w:p>
    <w:p>
      <w:pPr>
        <w:spacing w:line="269" w:lineRule="exact" w:before="0"/>
        <w:ind w:left="238" w:right="0" w:firstLine="0"/>
        <w:jc w:val="left"/>
        <w:rPr>
          <w:b/>
          <w:sz w:val="21"/>
        </w:rPr>
      </w:pPr>
      <w:r>
        <w:rPr>
          <w:b/>
          <w:spacing w:val="-3"/>
          <w:sz w:val="21"/>
        </w:rPr>
        <w:t>八十五、细菌性脑脊髓膜炎</w:t>
      </w:r>
    </w:p>
    <w:p>
      <w:pPr>
        <w:spacing w:after="0" w:line="269" w:lineRule="exact"/>
        <w:jc w:val="left"/>
        <w:rPr>
          <w:sz w:val="21"/>
        </w:rPr>
        <w:sectPr>
          <w:pgSz w:w="11910" w:h="16840"/>
          <w:pgMar w:header="0" w:footer="1005" w:top="1400" w:bottom="1200" w:left="1560" w:right="240"/>
        </w:sectPr>
      </w:pPr>
    </w:p>
    <w:p>
      <w:pPr>
        <w:pStyle w:val="BodyText"/>
        <w:spacing w:line="278" w:lineRule="auto" w:before="44"/>
        <w:ind w:right="1443"/>
      </w:pPr>
      <w:r>
        <w:rPr>
          <w:spacing w:val="-10"/>
        </w:rPr>
        <w:t>指因脑膜炎双球菌感染引起脑脊髓膜化脓性病变，且导致永久性神经损害，持续 </w:t>
      </w:r>
      <w:r>
        <w:rPr/>
        <w:t>180</w:t>
      </w:r>
      <w:r>
        <w:rPr>
          <w:spacing w:val="-12"/>
        </w:rPr>
        <w:t> 天以上，</w:t>
      </w:r>
      <w:r>
        <w:rPr>
          <w:spacing w:val="-2"/>
        </w:rPr>
        <w:t>并且脑脊液检查显示脑膜炎双球菌阳性。</w:t>
      </w:r>
    </w:p>
    <w:p>
      <w:pPr>
        <w:pStyle w:val="BodyText"/>
        <w:spacing w:line="278" w:lineRule="auto"/>
        <w:ind w:right="1443"/>
      </w:pPr>
      <w:r>
        <w:rPr>
          <w:spacing w:val="-8"/>
        </w:rPr>
        <w:t>永久性神经损害是指由细菌性脑脊髓膜炎引起的耳聋、失明、动眼神经麻痹、瘫痪、脑积水、</w:t>
      </w:r>
      <w:r>
        <w:rPr>
          <w:spacing w:val="-2"/>
        </w:rPr>
        <w:t>智力或性情中度以上的损害，且上述症状持续 </w:t>
      </w:r>
      <w:r>
        <w:rPr/>
        <w:t>180</w:t>
      </w:r>
      <w:r>
        <w:rPr>
          <w:spacing w:val="-5"/>
        </w:rPr>
        <w:t> 天以上仍无改善迹象。</w:t>
      </w:r>
    </w:p>
    <w:p>
      <w:pPr>
        <w:pStyle w:val="Heading5"/>
        <w:spacing w:line="269" w:lineRule="exact"/>
      </w:pPr>
      <w:r>
        <w:rPr>
          <w:spacing w:val="-2"/>
        </w:rPr>
        <w:t>八十六、库鲁病</w:t>
      </w:r>
    </w:p>
    <w:p>
      <w:pPr>
        <w:pStyle w:val="BodyText"/>
        <w:spacing w:line="278" w:lineRule="auto" w:before="43"/>
        <w:ind w:right="1548"/>
        <w:jc w:val="both"/>
      </w:pPr>
      <w:r>
        <w:rPr>
          <w:spacing w:val="-4"/>
        </w:rPr>
        <w:t>指一种亚急性传染性朊蛋白病。临床表现为共济失调、震颤、不自主运动，在病程晚期出现</w:t>
      </w:r>
      <w:r>
        <w:rPr>
          <w:spacing w:val="-4"/>
        </w:rPr>
        <w:t>进行性加重的痴呆，神经异常。该病必须由本公司认可的医院根据致病蛋白的发现而明确诊</w:t>
      </w:r>
      <w:r>
        <w:rPr>
          <w:spacing w:val="-6"/>
        </w:rPr>
        <w:t>断。</w:t>
      </w:r>
    </w:p>
    <w:p>
      <w:pPr>
        <w:pStyle w:val="Heading5"/>
        <w:spacing w:line="269" w:lineRule="exact"/>
      </w:pPr>
      <w:r>
        <w:rPr>
          <w:spacing w:val="-3"/>
        </w:rPr>
        <w:t>八十七、疾病或外伤所致智力障碍</w:t>
      </w:r>
    </w:p>
    <w:p>
      <w:pPr>
        <w:pStyle w:val="BodyText"/>
        <w:spacing w:line="278" w:lineRule="auto" w:before="43"/>
        <w:ind w:right="1443"/>
      </w:pPr>
      <w:r>
        <w:rPr>
          <w:spacing w:val="-2"/>
        </w:rPr>
        <w:t>因严重头部创伤或疾病造成被保险人智力低常（智力低于常态</w:t>
      </w:r>
      <w:r>
        <w:rPr>
          <w:spacing w:val="-106"/>
        </w:rPr>
        <w:t>）</w:t>
      </w:r>
      <w:r>
        <w:rPr>
          <w:spacing w:val="-2"/>
        </w:rPr>
        <w:t>。根据智商</w:t>
      </w:r>
      <w:r>
        <w:rPr>
          <w:spacing w:val="21"/>
        </w:rPr>
        <w:t>（</w:t>
      </w:r>
      <w:r>
        <w:rPr>
          <w:spacing w:val="24"/>
        </w:rPr>
        <w:t>IQ</w:t>
      </w:r>
      <w:r>
        <w:rPr>
          <w:spacing w:val="-82"/>
        </w:rPr>
        <w:t>）</w:t>
      </w:r>
      <w:r>
        <w:rPr>
          <w:spacing w:val="-2"/>
        </w:rPr>
        <w:t>，智力低常</w:t>
      </w:r>
      <w:r>
        <w:rPr>
          <w:spacing w:val="-2"/>
        </w:rPr>
        <w:t>分为中度（IQ35-</w:t>
      </w:r>
      <w:r>
        <w:rPr>
          <w:spacing w:val="34"/>
        </w:rPr>
        <w:t>50</w:t>
      </w:r>
      <w:r>
        <w:rPr>
          <w:spacing w:val="-74"/>
        </w:rPr>
        <w:t>）</w:t>
      </w:r>
      <w:r>
        <w:rPr>
          <w:spacing w:val="-2"/>
        </w:rPr>
        <w:t>、重度（IQ20-35）和极重度</w:t>
      </w:r>
      <w:r>
        <w:rPr>
          <w:spacing w:val="10"/>
        </w:rPr>
        <w:t>（</w:t>
      </w:r>
      <w:r>
        <w:rPr>
          <w:spacing w:val="13"/>
        </w:rPr>
        <w:t>IQ&lt;20</w:t>
      </w:r>
      <w:r>
        <w:rPr>
          <w:spacing w:val="-95"/>
        </w:rPr>
        <w:t>）</w:t>
      </w:r>
      <w:r>
        <w:rPr>
          <w:spacing w:val="-2"/>
        </w:rPr>
        <w:t>。智商的检测必须由我们认可的</w:t>
      </w:r>
      <w:r>
        <w:rPr>
          <w:spacing w:val="-2"/>
        </w:rPr>
        <w:t>专职心理测验工作者进行，心理测验工作者必须持有由心理测量专业委员会资格认定书。根</w:t>
      </w:r>
      <w:r>
        <w:rPr>
          <w:spacing w:val="-6"/>
        </w:rPr>
        <w:t>据被保险人年龄采用对应的智力量表如韦克斯勒智力量表</w:t>
      </w:r>
      <w:r>
        <w:rPr>
          <w:spacing w:val="-2"/>
        </w:rPr>
        <w:t>（儿童智力量表或成人智力量表</w:t>
      </w:r>
      <w:r>
        <w:rPr>
          <w:spacing w:val="-106"/>
        </w:rPr>
        <w:t>）</w:t>
      </w:r>
      <w:r>
        <w:rPr>
          <w:spacing w:val="-2"/>
        </w:rPr>
        <w:t>。</w:t>
      </w:r>
      <w:r>
        <w:rPr>
          <w:spacing w:val="-2"/>
        </w:rPr>
        <w:t>必须满足下列全部条件：</w:t>
      </w:r>
    </w:p>
    <w:p>
      <w:pPr>
        <w:pStyle w:val="ListParagraph"/>
        <w:numPr>
          <w:ilvl w:val="0"/>
          <w:numId w:val="61"/>
        </w:numPr>
        <w:tabs>
          <w:tab w:pos="767" w:val="left" w:leader="none"/>
        </w:tabs>
        <w:spacing w:line="278" w:lineRule="auto" w:before="0" w:after="0"/>
        <w:ind w:left="238" w:right="1566" w:firstLine="0"/>
        <w:jc w:val="left"/>
        <w:rPr>
          <w:sz w:val="21"/>
        </w:rPr>
      </w:pPr>
      <w:r>
        <w:rPr>
          <w:spacing w:val="-2"/>
          <w:sz w:val="21"/>
        </w:rPr>
        <w:t>造成被保险人智力低常（智力低于常态）的严重头部创伤或疾病（以入院日期为准）</w:t>
      </w:r>
      <w:r>
        <w:rPr>
          <w:spacing w:val="-3"/>
          <w:sz w:val="21"/>
        </w:rPr>
        <w:t>发生在被保险人 </w:t>
      </w:r>
      <w:r>
        <w:rPr>
          <w:sz w:val="21"/>
        </w:rPr>
        <w:t>6</w:t>
      </w:r>
      <w:r>
        <w:rPr>
          <w:spacing w:val="-5"/>
          <w:sz w:val="21"/>
        </w:rPr>
        <w:t> 周岁以后；</w:t>
      </w:r>
    </w:p>
    <w:p>
      <w:pPr>
        <w:pStyle w:val="ListParagraph"/>
        <w:numPr>
          <w:ilvl w:val="0"/>
          <w:numId w:val="61"/>
        </w:numPr>
        <w:tabs>
          <w:tab w:pos="767" w:val="left" w:leader="none"/>
        </w:tabs>
        <w:spacing w:line="269" w:lineRule="exact" w:before="0" w:after="0"/>
        <w:ind w:left="767" w:right="0" w:hanging="529"/>
        <w:jc w:val="left"/>
        <w:rPr>
          <w:sz w:val="21"/>
        </w:rPr>
      </w:pPr>
      <w:r>
        <w:rPr>
          <w:spacing w:val="-3"/>
          <w:sz w:val="21"/>
        </w:rPr>
        <w:t>专科医生确诊被保险人由于严重头部创伤或疾病造成智力低常；</w:t>
      </w:r>
    </w:p>
    <w:p>
      <w:pPr>
        <w:pStyle w:val="ListParagraph"/>
        <w:numPr>
          <w:ilvl w:val="0"/>
          <w:numId w:val="61"/>
        </w:numPr>
        <w:tabs>
          <w:tab w:pos="771" w:val="left" w:leader="none"/>
        </w:tabs>
        <w:spacing w:line="240" w:lineRule="auto" w:before="43" w:after="0"/>
        <w:ind w:left="770" w:right="0" w:hanging="533"/>
        <w:jc w:val="left"/>
        <w:rPr>
          <w:sz w:val="21"/>
        </w:rPr>
      </w:pPr>
      <w:r>
        <w:rPr>
          <w:spacing w:val="-6"/>
          <w:sz w:val="21"/>
        </w:rPr>
        <w:t>专职心理检测工作者适时做的心理检测证实被保险人智力低常</w:t>
      </w:r>
      <w:r>
        <w:rPr>
          <w:spacing w:val="-2"/>
          <w:sz w:val="21"/>
        </w:rPr>
        <w:t>（</w:t>
      </w:r>
      <w:r>
        <w:rPr>
          <w:spacing w:val="-15"/>
          <w:sz w:val="21"/>
        </w:rPr>
        <w:t>中度、重度或极重度</w:t>
      </w:r>
      <w:r>
        <w:rPr>
          <w:spacing w:val="-113"/>
          <w:sz w:val="21"/>
        </w:rPr>
        <w:t>）</w:t>
      </w:r>
      <w:r>
        <w:rPr>
          <w:spacing w:val="-5"/>
          <w:sz w:val="21"/>
        </w:rPr>
        <w:t>；</w:t>
      </w:r>
    </w:p>
    <w:p>
      <w:pPr>
        <w:pStyle w:val="ListParagraph"/>
        <w:numPr>
          <w:ilvl w:val="0"/>
          <w:numId w:val="61"/>
        </w:numPr>
        <w:tabs>
          <w:tab w:pos="767" w:val="left" w:leader="none"/>
        </w:tabs>
        <w:spacing w:line="278" w:lineRule="auto" w:before="43" w:after="0"/>
        <w:ind w:left="238" w:right="4717" w:firstLine="0"/>
        <w:jc w:val="left"/>
        <w:rPr>
          <w:b/>
          <w:sz w:val="21"/>
        </w:rPr>
      </w:pPr>
      <w:r>
        <w:rPr>
          <w:spacing w:val="-5"/>
          <w:sz w:val="21"/>
        </w:rPr>
        <w:t>被保险人的智力低常自确认日起持续 </w:t>
      </w:r>
      <w:r>
        <w:rPr>
          <w:spacing w:val="-2"/>
          <w:sz w:val="21"/>
        </w:rPr>
        <w:t>180</w:t>
      </w:r>
      <w:r>
        <w:rPr>
          <w:spacing w:val="-12"/>
          <w:sz w:val="21"/>
        </w:rPr>
        <w:t> 天以上。</w:t>
      </w:r>
      <w:r>
        <w:rPr>
          <w:b/>
          <w:spacing w:val="-2"/>
          <w:sz w:val="21"/>
        </w:rPr>
        <w:t>八十八、严重幼年型类风湿性关节炎</w:t>
      </w:r>
    </w:p>
    <w:p>
      <w:pPr>
        <w:pStyle w:val="BodyText"/>
        <w:spacing w:line="269" w:lineRule="exact"/>
      </w:pPr>
      <w:r>
        <w:rPr>
          <w:spacing w:val="-3"/>
        </w:rPr>
        <w:t>指为了治疗幼年型类风湿性关节炎，实际实施了膝关节或髋关节置换手术。</w:t>
      </w:r>
    </w:p>
    <w:p>
      <w:pPr>
        <w:pStyle w:val="BodyText"/>
        <w:spacing w:line="278" w:lineRule="auto" w:before="43"/>
        <w:ind w:right="1549"/>
      </w:pPr>
      <w:r>
        <w:rPr>
          <w:spacing w:val="-6"/>
        </w:rPr>
        <w:t>幼年型类风湿性关节炎是一种儿童期发病的慢性关节炎，其特点为在高热和系统性病征出现</w:t>
      </w:r>
      <w:r>
        <w:rPr>
          <w:spacing w:val="-2"/>
        </w:rPr>
        <w:t>数月后发生关节炎。</w:t>
      </w:r>
    </w:p>
    <w:p>
      <w:pPr>
        <w:pStyle w:val="Heading5"/>
        <w:spacing w:line="278" w:lineRule="auto"/>
        <w:ind w:right="5018"/>
      </w:pPr>
      <w:r>
        <w:rPr>
          <w:spacing w:val="-2"/>
        </w:rPr>
        <w:t>被保险人疾病诊断时年龄必须在年满十八周岁之前。</w:t>
      </w:r>
      <w:r>
        <w:rPr>
          <w:spacing w:val="-2"/>
        </w:rPr>
        <w:t>其他类型的儿童类风湿性关节炎不在保障范围内。</w:t>
      </w:r>
      <w:r>
        <w:rPr>
          <w:spacing w:val="-2"/>
        </w:rPr>
        <w:t> </w:t>
      </w:r>
      <w:r>
        <w:rPr>
          <w:spacing w:val="-2"/>
        </w:rPr>
        <w:t>八十九、席汉氏综合征</w:t>
      </w:r>
    </w:p>
    <w:p>
      <w:pPr>
        <w:pStyle w:val="BodyText"/>
        <w:spacing w:line="278" w:lineRule="auto"/>
        <w:ind w:right="1549"/>
      </w:pPr>
      <w:r>
        <w:rPr>
          <w:spacing w:val="-4"/>
        </w:rPr>
        <w:t>指因产后大出血并发休克、全身循环衰竭、弥漫性血管内凝血导致脑垂体缺血坏死和垂体分</w:t>
      </w:r>
      <w:r>
        <w:rPr>
          <w:spacing w:val="-2"/>
        </w:rPr>
        <w:t>泌激素不足，造成性腺、甲状腺、肾上腺皮质功能减退。必须满足下列所有条件：</w:t>
      </w:r>
    </w:p>
    <w:p>
      <w:pPr>
        <w:pStyle w:val="ListParagraph"/>
        <w:numPr>
          <w:ilvl w:val="0"/>
          <w:numId w:val="62"/>
        </w:numPr>
        <w:tabs>
          <w:tab w:pos="767" w:val="left" w:leader="none"/>
        </w:tabs>
        <w:spacing w:line="269" w:lineRule="exact" w:before="0" w:after="0"/>
        <w:ind w:left="767" w:right="0" w:hanging="529"/>
        <w:jc w:val="left"/>
        <w:rPr>
          <w:sz w:val="21"/>
        </w:rPr>
      </w:pPr>
      <w:r>
        <w:rPr>
          <w:spacing w:val="-3"/>
          <w:sz w:val="21"/>
        </w:rPr>
        <w:t>产后大出血休克病史；</w:t>
      </w:r>
    </w:p>
    <w:p>
      <w:pPr>
        <w:pStyle w:val="ListParagraph"/>
        <w:numPr>
          <w:ilvl w:val="0"/>
          <w:numId w:val="62"/>
        </w:numPr>
        <w:tabs>
          <w:tab w:pos="767" w:val="left" w:leader="none"/>
        </w:tabs>
        <w:spacing w:line="240" w:lineRule="auto" w:before="43" w:after="0"/>
        <w:ind w:left="767" w:right="0" w:hanging="529"/>
        <w:jc w:val="left"/>
        <w:rPr>
          <w:sz w:val="21"/>
        </w:rPr>
      </w:pPr>
      <w:r>
        <w:rPr>
          <w:spacing w:val="-2"/>
          <w:sz w:val="21"/>
        </w:rPr>
        <w:t>严重腺垂体功能破坏，破坏程度</w:t>
      </w:r>
      <w:r>
        <w:rPr>
          <w:rFonts w:ascii="Calibri" w:eastAsia="Calibri"/>
          <w:spacing w:val="-4"/>
          <w:sz w:val="21"/>
        </w:rPr>
        <w:t>&gt;95%</w:t>
      </w:r>
      <w:r>
        <w:rPr>
          <w:spacing w:val="-4"/>
          <w:sz w:val="21"/>
        </w:rPr>
        <w:t>；</w:t>
      </w:r>
    </w:p>
    <w:p>
      <w:pPr>
        <w:pStyle w:val="ListParagraph"/>
        <w:numPr>
          <w:ilvl w:val="0"/>
          <w:numId w:val="62"/>
        </w:numPr>
        <w:tabs>
          <w:tab w:pos="767" w:val="left" w:leader="none"/>
        </w:tabs>
        <w:spacing w:line="240" w:lineRule="auto" w:before="43" w:after="0"/>
        <w:ind w:left="767" w:right="0" w:hanging="529"/>
        <w:jc w:val="left"/>
        <w:rPr>
          <w:sz w:val="21"/>
        </w:rPr>
      </w:pPr>
      <w:r>
        <w:rPr>
          <w:spacing w:val="-3"/>
          <w:sz w:val="21"/>
        </w:rPr>
        <w:t>影像学检查显示脑垂体严重萎缩或消失；</w:t>
      </w:r>
    </w:p>
    <w:p>
      <w:pPr>
        <w:pStyle w:val="ListParagraph"/>
        <w:numPr>
          <w:ilvl w:val="0"/>
          <w:numId w:val="62"/>
        </w:numPr>
        <w:tabs>
          <w:tab w:pos="767" w:val="left" w:leader="none"/>
        </w:tabs>
        <w:spacing w:line="240" w:lineRule="auto" w:before="43" w:after="0"/>
        <w:ind w:left="767" w:right="0" w:hanging="529"/>
        <w:jc w:val="left"/>
        <w:rPr>
          <w:sz w:val="21"/>
        </w:rPr>
      </w:pPr>
      <w:r>
        <w:rPr>
          <w:spacing w:val="-4"/>
          <w:sz w:val="21"/>
        </w:rPr>
        <w:t>实验室检查显示：</w:t>
      </w:r>
    </w:p>
    <w:p>
      <w:pPr>
        <w:pStyle w:val="BodyText"/>
        <w:spacing w:line="278" w:lineRule="auto" w:before="43"/>
        <w:ind w:right="1551"/>
      </w:pPr>
      <w:r>
        <w:rPr>
          <w:spacing w:val="-4"/>
        </w:rPr>
        <w:t>①垂体前叶激素全面低下（包括生长激素、促甲状腺素、促肾上腺皮质激素、卵泡刺激素和</w:t>
      </w:r>
      <w:r>
        <w:rPr>
          <w:spacing w:val="-2"/>
        </w:rPr>
        <w:t>黄体生成素）；</w:t>
      </w:r>
    </w:p>
    <w:p>
      <w:pPr>
        <w:pStyle w:val="BodyText"/>
        <w:spacing w:line="269" w:lineRule="exact"/>
      </w:pPr>
      <w:r>
        <w:rPr>
          <w:spacing w:val="-3"/>
        </w:rPr>
        <w:t>②性激素、甲状腺素、肾上腺皮质激素全面低下；</w:t>
      </w:r>
    </w:p>
    <w:p>
      <w:pPr>
        <w:pStyle w:val="ListParagraph"/>
        <w:numPr>
          <w:ilvl w:val="0"/>
          <w:numId w:val="62"/>
        </w:numPr>
        <w:tabs>
          <w:tab w:pos="767" w:val="left" w:leader="none"/>
        </w:tabs>
        <w:spacing w:line="278" w:lineRule="auto" w:before="43" w:after="0"/>
        <w:ind w:left="238" w:right="2403" w:firstLine="0"/>
        <w:jc w:val="left"/>
        <w:rPr>
          <w:b/>
          <w:sz w:val="21"/>
        </w:rPr>
      </w:pPr>
      <w:r>
        <w:rPr>
          <w:spacing w:val="-2"/>
          <w:sz w:val="21"/>
        </w:rPr>
        <w:t>需要终身激素替代治疗以维持身体功能，持续服用各种替代激素超过一年。</w:t>
      </w:r>
      <w:r>
        <w:rPr>
          <w:b/>
          <w:spacing w:val="-2"/>
          <w:sz w:val="21"/>
        </w:rPr>
        <w:t>九十、脊柱裂</w:t>
      </w:r>
    </w:p>
    <w:p>
      <w:pPr>
        <w:spacing w:line="278" w:lineRule="auto" w:before="0"/>
        <w:ind w:left="238" w:right="1443" w:firstLine="0"/>
        <w:jc w:val="left"/>
        <w:rPr>
          <w:b/>
          <w:sz w:val="21"/>
        </w:rPr>
      </w:pPr>
      <w:r>
        <w:rPr>
          <w:spacing w:val="-6"/>
          <w:sz w:val="21"/>
        </w:rPr>
        <w:t>指脊椎或颅骨不完全闭合，导致脊髓脊膜突出，脑（脊）膜突出或脑膨出，合并大小便失禁，</w:t>
      </w:r>
      <w:r>
        <w:rPr>
          <w:sz w:val="21"/>
        </w:rPr>
        <w:t>部分或完全性下肢瘫痪或畸形等神经学上的异常，</w:t>
      </w:r>
      <w:r>
        <w:rPr>
          <w:b/>
          <w:spacing w:val="-3"/>
          <w:sz w:val="21"/>
        </w:rPr>
        <w:t>但不包括由 </w:t>
      </w:r>
      <w:r>
        <w:rPr>
          <w:b/>
          <w:sz w:val="21"/>
        </w:rPr>
        <w:t>X 线摄片发现的没有合并脊</w:t>
      </w:r>
      <w:r>
        <w:rPr>
          <w:b/>
          <w:spacing w:val="-2"/>
          <w:sz w:val="21"/>
        </w:rPr>
        <w:t>椎脊膜突出或脑（脊）膜突出的隐形脊椎裂。</w:t>
      </w:r>
    </w:p>
    <w:p>
      <w:pPr>
        <w:pStyle w:val="Heading5"/>
        <w:spacing w:line="278" w:lineRule="auto"/>
        <w:ind w:right="1549"/>
      </w:pPr>
      <w:r>
        <w:rPr>
          <w:spacing w:val="-2"/>
        </w:rPr>
        <w:t>本公司承担本项疾病责任不受本合同责任免除中“遗传性疾病，先天性畸形、变形或染色</w:t>
      </w:r>
      <w:r>
        <w:rPr>
          <w:spacing w:val="-2"/>
        </w:rPr>
        <w:t>体异常”的限制。</w:t>
      </w:r>
    </w:p>
    <w:p>
      <w:pPr>
        <w:spacing w:line="269" w:lineRule="exact" w:before="0"/>
        <w:ind w:left="238" w:right="0" w:firstLine="0"/>
        <w:jc w:val="left"/>
        <w:rPr>
          <w:b/>
          <w:sz w:val="21"/>
        </w:rPr>
      </w:pPr>
      <w:r>
        <w:rPr>
          <w:b/>
          <w:spacing w:val="-3"/>
          <w:sz w:val="21"/>
        </w:rPr>
        <w:t>九十一、弥漫性血管内凝血</w:t>
      </w:r>
    </w:p>
    <w:p>
      <w:pPr>
        <w:pStyle w:val="BodyText"/>
        <w:spacing w:before="42"/>
      </w:pPr>
      <w:r>
        <w:rPr>
          <w:spacing w:val="-7"/>
        </w:rPr>
        <w:t>指血液凝固系统和纤溶系统的过度活动导致微血管血栓形成、血小板及凝血因子耗竭和严重</w:t>
      </w:r>
    </w:p>
    <w:p>
      <w:pPr>
        <w:spacing w:after="0"/>
        <w:sectPr>
          <w:pgSz w:w="11910" w:h="16840"/>
          <w:pgMar w:header="0" w:footer="1005" w:top="1400" w:bottom="1200" w:left="1560" w:right="240"/>
        </w:sectPr>
      </w:pPr>
    </w:p>
    <w:p>
      <w:pPr>
        <w:spacing w:line="278" w:lineRule="auto" w:before="44"/>
        <w:ind w:left="238" w:right="5660" w:firstLine="0"/>
        <w:jc w:val="left"/>
        <w:rPr>
          <w:b/>
          <w:sz w:val="21"/>
        </w:rPr>
      </w:pPr>
      <w:r>
        <w:rPr>
          <w:spacing w:val="-2"/>
          <w:sz w:val="21"/>
        </w:rPr>
        <w:t>出血，需要输注血浆和浓缩血小板进行治疗。</w:t>
      </w:r>
      <w:r>
        <w:rPr>
          <w:b/>
          <w:spacing w:val="-2"/>
          <w:sz w:val="21"/>
        </w:rPr>
        <w:t>九十二、亚急性硬化性全脑炎</w:t>
      </w:r>
    </w:p>
    <w:p>
      <w:pPr>
        <w:pStyle w:val="BodyText"/>
        <w:spacing w:line="278" w:lineRule="auto"/>
        <w:ind w:right="1549"/>
        <w:jc w:val="both"/>
      </w:pPr>
      <w:r>
        <w:rPr>
          <w:spacing w:val="-7"/>
        </w:rPr>
        <w:t>指一种以大脑白质和灰质损害为主的全脑炎。本病的发生是由于缺损型麻疹病毒慢性持续感</w:t>
      </w:r>
      <w:r>
        <w:rPr>
          <w:spacing w:val="-4"/>
        </w:rPr>
        <w:t>染所致的一种罕见的致命性中枢神经系统退变性疾病。早期以炎症性病变为主，晚期主要为</w:t>
      </w:r>
      <w:r>
        <w:rPr>
          <w:spacing w:val="-5"/>
        </w:rPr>
        <w:t>神经元坏死和胶质增生，核内包涵体是本病的特征性改变之一。疾病确诊 </w:t>
      </w:r>
      <w:r>
        <w:rPr>
          <w:spacing w:val="-4"/>
        </w:rPr>
        <w:t>180</w:t>
      </w:r>
      <w:r>
        <w:rPr>
          <w:spacing w:val="-8"/>
        </w:rPr>
        <w:t> 天后，仍遗留</w:t>
      </w:r>
      <w:r>
        <w:rPr>
          <w:spacing w:val="-2"/>
        </w:rPr>
        <w:t>下列一种或一种以上障碍：</w:t>
      </w:r>
    </w:p>
    <w:p>
      <w:pPr>
        <w:pStyle w:val="ListParagraph"/>
        <w:numPr>
          <w:ilvl w:val="0"/>
          <w:numId w:val="63"/>
        </w:numPr>
        <w:tabs>
          <w:tab w:pos="767" w:val="left" w:leader="none"/>
        </w:tabs>
        <w:spacing w:line="269" w:lineRule="exact" w:before="0" w:after="0"/>
        <w:ind w:left="767" w:right="0" w:hanging="529"/>
        <w:jc w:val="left"/>
        <w:rPr>
          <w:sz w:val="21"/>
        </w:rPr>
      </w:pPr>
      <w:r>
        <w:rPr>
          <w:spacing w:val="-3"/>
          <w:sz w:val="21"/>
        </w:rPr>
        <w:t>一肢或一肢以上肢体机能完全丧失；</w:t>
      </w:r>
    </w:p>
    <w:p>
      <w:pPr>
        <w:pStyle w:val="ListParagraph"/>
        <w:numPr>
          <w:ilvl w:val="0"/>
          <w:numId w:val="63"/>
        </w:numPr>
        <w:tabs>
          <w:tab w:pos="767" w:val="left" w:leader="none"/>
        </w:tabs>
        <w:spacing w:line="240" w:lineRule="auto" w:before="43" w:after="0"/>
        <w:ind w:left="767" w:right="0" w:hanging="529"/>
        <w:jc w:val="left"/>
        <w:rPr>
          <w:sz w:val="21"/>
        </w:rPr>
      </w:pPr>
      <w:r>
        <w:rPr>
          <w:spacing w:val="-3"/>
          <w:sz w:val="21"/>
        </w:rPr>
        <w:t>语言能力或咀嚼吞咽能力完全丧失；</w:t>
      </w:r>
    </w:p>
    <w:p>
      <w:pPr>
        <w:pStyle w:val="ListParagraph"/>
        <w:numPr>
          <w:ilvl w:val="0"/>
          <w:numId w:val="63"/>
        </w:numPr>
        <w:tabs>
          <w:tab w:pos="767" w:val="left" w:leader="none"/>
        </w:tabs>
        <w:spacing w:line="278" w:lineRule="auto" w:before="43" w:after="0"/>
        <w:ind w:left="238" w:right="1565" w:firstLine="0"/>
        <w:jc w:val="left"/>
        <w:rPr>
          <w:b/>
          <w:sz w:val="21"/>
        </w:rPr>
      </w:pPr>
      <w:r>
        <w:rPr>
          <w:spacing w:val="-2"/>
          <w:sz w:val="21"/>
        </w:rPr>
        <w:t>自主生活能力完全丧失，无法独立完成六项基本日常生活活动中的三项或三项以上。</w:t>
      </w:r>
      <w:r>
        <w:rPr>
          <w:b/>
          <w:spacing w:val="-2"/>
          <w:sz w:val="21"/>
        </w:rPr>
        <w:t>九十三、进行性风疹性全脑炎</w:t>
      </w:r>
    </w:p>
    <w:p>
      <w:pPr>
        <w:pStyle w:val="BodyText"/>
        <w:spacing w:line="278" w:lineRule="auto"/>
        <w:ind w:right="1618"/>
      </w:pPr>
      <w:r>
        <w:rPr>
          <w:spacing w:val="-2"/>
        </w:rPr>
        <w:t>指由风疹病毒感染引起的儿童和青少年的慢性脑炎。疾病确诊 </w:t>
      </w:r>
      <w:r>
        <w:rPr/>
        <w:t>180</w:t>
      </w:r>
      <w:r>
        <w:rPr>
          <w:spacing w:val="-6"/>
        </w:rPr>
        <w:t> 天后，仍遗留下列一种</w:t>
      </w:r>
      <w:r>
        <w:rPr>
          <w:spacing w:val="-2"/>
        </w:rPr>
        <w:t>或一种以上障碍：</w:t>
      </w:r>
    </w:p>
    <w:p>
      <w:pPr>
        <w:pStyle w:val="ListParagraph"/>
        <w:numPr>
          <w:ilvl w:val="0"/>
          <w:numId w:val="64"/>
        </w:numPr>
        <w:tabs>
          <w:tab w:pos="767" w:val="left" w:leader="none"/>
        </w:tabs>
        <w:spacing w:line="269" w:lineRule="exact" w:before="0" w:after="0"/>
        <w:ind w:left="767" w:right="0" w:hanging="529"/>
        <w:jc w:val="left"/>
        <w:rPr>
          <w:sz w:val="21"/>
        </w:rPr>
      </w:pPr>
      <w:r>
        <w:rPr>
          <w:spacing w:val="-3"/>
          <w:sz w:val="21"/>
        </w:rPr>
        <w:t>一肢或一肢以上肢体机能完全丧失；</w:t>
      </w:r>
    </w:p>
    <w:p>
      <w:pPr>
        <w:pStyle w:val="ListParagraph"/>
        <w:numPr>
          <w:ilvl w:val="0"/>
          <w:numId w:val="64"/>
        </w:numPr>
        <w:tabs>
          <w:tab w:pos="767" w:val="left" w:leader="none"/>
        </w:tabs>
        <w:spacing w:line="240" w:lineRule="auto" w:before="43" w:after="0"/>
        <w:ind w:left="767" w:right="0" w:hanging="529"/>
        <w:jc w:val="left"/>
        <w:rPr>
          <w:sz w:val="21"/>
        </w:rPr>
      </w:pPr>
      <w:r>
        <w:rPr>
          <w:spacing w:val="-3"/>
          <w:sz w:val="21"/>
        </w:rPr>
        <w:t>语言能力或咀嚼吞咽能力完全丧失；</w:t>
      </w:r>
    </w:p>
    <w:p>
      <w:pPr>
        <w:pStyle w:val="ListParagraph"/>
        <w:numPr>
          <w:ilvl w:val="0"/>
          <w:numId w:val="64"/>
        </w:numPr>
        <w:tabs>
          <w:tab w:pos="767" w:val="left" w:leader="none"/>
        </w:tabs>
        <w:spacing w:line="278" w:lineRule="auto" w:before="43" w:after="0"/>
        <w:ind w:left="238" w:right="1565" w:firstLine="0"/>
        <w:jc w:val="left"/>
        <w:rPr>
          <w:b/>
          <w:sz w:val="21"/>
        </w:rPr>
      </w:pPr>
      <w:r>
        <w:rPr>
          <w:spacing w:val="-2"/>
          <w:sz w:val="21"/>
        </w:rPr>
        <w:t>自主生活能力完全丧失，无法独立完成六项基本日常生活活动中的三项或三项以上。</w:t>
      </w:r>
      <w:r>
        <w:rPr>
          <w:b/>
          <w:spacing w:val="-2"/>
          <w:sz w:val="21"/>
        </w:rPr>
        <w:t>九十四、败血症导致的多器官功能障碍综合症</w:t>
      </w:r>
    </w:p>
    <w:p>
      <w:pPr>
        <w:pStyle w:val="BodyText"/>
        <w:spacing w:line="278" w:lineRule="auto"/>
        <w:ind w:right="1549"/>
        <w:jc w:val="both"/>
      </w:pPr>
      <w:r>
        <w:rPr>
          <w:spacing w:val="-4"/>
        </w:rPr>
        <w:t>指由本公司认可的医院的专科医生确诊为败血症，并由血液或骨髓检查证实致病菌，伴发一</w:t>
      </w:r>
      <w:r>
        <w:rPr>
          <w:spacing w:val="-3"/>
        </w:rPr>
        <w:t>个或多个器官系统生理功能障碍，并因该疾病入住重症监护病房至少 </w:t>
      </w:r>
      <w:r>
        <w:rPr>
          <w:spacing w:val="-2"/>
        </w:rPr>
        <w:t>96</w:t>
      </w:r>
      <w:r>
        <w:rPr>
          <w:spacing w:val="-6"/>
        </w:rPr>
        <w:t> 小时，同时至少满</w:t>
      </w:r>
      <w:r>
        <w:rPr>
          <w:spacing w:val="-2"/>
        </w:rPr>
        <w:t>足以下任意一条标准：</w:t>
      </w:r>
    </w:p>
    <w:p>
      <w:pPr>
        <w:pStyle w:val="ListParagraph"/>
        <w:numPr>
          <w:ilvl w:val="0"/>
          <w:numId w:val="65"/>
        </w:numPr>
        <w:tabs>
          <w:tab w:pos="767" w:val="left" w:leader="none"/>
        </w:tabs>
        <w:spacing w:line="269" w:lineRule="exact" w:before="0" w:after="0"/>
        <w:ind w:left="767" w:right="0" w:hanging="529"/>
        <w:jc w:val="left"/>
        <w:rPr>
          <w:sz w:val="21"/>
        </w:rPr>
      </w:pPr>
      <w:r>
        <w:rPr>
          <w:spacing w:val="-3"/>
          <w:sz w:val="21"/>
        </w:rPr>
        <w:t>呼吸衰竭，需要进行气管插管机械通气；</w:t>
      </w:r>
    </w:p>
    <w:p>
      <w:pPr>
        <w:pStyle w:val="ListParagraph"/>
        <w:numPr>
          <w:ilvl w:val="0"/>
          <w:numId w:val="65"/>
        </w:numPr>
        <w:tabs>
          <w:tab w:pos="767" w:val="left" w:leader="none"/>
        </w:tabs>
        <w:spacing w:line="240" w:lineRule="auto" w:before="43" w:after="0"/>
        <w:ind w:left="767" w:right="0" w:hanging="529"/>
        <w:jc w:val="left"/>
        <w:rPr>
          <w:sz w:val="21"/>
        </w:rPr>
      </w:pPr>
      <w:r>
        <w:rPr>
          <w:spacing w:val="-4"/>
          <w:sz w:val="21"/>
        </w:rPr>
        <w:t>凝血血小板计数</w:t>
      </w:r>
      <w:r>
        <w:rPr>
          <w:rFonts w:ascii="Times New Roman" w:hAnsi="Times New Roman" w:eastAsia="Times New Roman"/>
          <w:spacing w:val="-4"/>
          <w:sz w:val="21"/>
        </w:rPr>
        <w:t>&lt;50×10³/ </w:t>
      </w:r>
      <w:r>
        <w:rPr>
          <w:spacing w:val="-6"/>
          <w:sz w:val="21"/>
        </w:rPr>
        <w:t>微升；</w:t>
      </w:r>
    </w:p>
    <w:p>
      <w:pPr>
        <w:pStyle w:val="ListParagraph"/>
        <w:numPr>
          <w:ilvl w:val="0"/>
          <w:numId w:val="65"/>
        </w:numPr>
        <w:tabs>
          <w:tab w:pos="767" w:val="left" w:leader="none"/>
        </w:tabs>
        <w:spacing w:line="240" w:lineRule="auto" w:before="43" w:after="0"/>
        <w:ind w:left="767" w:right="0" w:hanging="529"/>
        <w:jc w:val="both"/>
        <w:rPr>
          <w:sz w:val="21"/>
        </w:rPr>
      </w:pPr>
      <w:r>
        <w:rPr>
          <w:spacing w:val="-2"/>
          <w:sz w:val="21"/>
        </w:rPr>
        <w:t>肝功能不全，胆红素</w:t>
      </w:r>
      <w:r>
        <w:rPr>
          <w:rFonts w:ascii="Times New Roman" w:hAnsi="Times New Roman" w:eastAsia="Times New Roman"/>
          <w:spacing w:val="-2"/>
          <w:sz w:val="21"/>
        </w:rPr>
        <w:t>&gt;6mg/dl</w:t>
      </w:r>
      <w:r>
        <w:rPr>
          <w:rFonts w:ascii="Times New Roman" w:hAnsi="Times New Roman" w:eastAsia="Times New Roman"/>
          <w:spacing w:val="12"/>
          <w:sz w:val="21"/>
        </w:rPr>
        <w:t> </w:t>
      </w:r>
      <w:r>
        <w:rPr>
          <w:spacing w:val="-2"/>
          <w:sz w:val="21"/>
        </w:rPr>
        <w:t>或</w:t>
      </w:r>
      <w:r>
        <w:rPr>
          <w:rFonts w:ascii="Times New Roman" w:hAnsi="Times New Roman" w:eastAsia="Times New Roman"/>
          <w:spacing w:val="-2"/>
          <w:sz w:val="21"/>
        </w:rPr>
        <w:t>&gt;102μmol/L</w:t>
      </w:r>
      <w:r>
        <w:rPr>
          <w:spacing w:val="-2"/>
          <w:sz w:val="21"/>
        </w:rPr>
        <w:t>；</w:t>
      </w:r>
    </w:p>
    <w:p>
      <w:pPr>
        <w:pStyle w:val="ListParagraph"/>
        <w:numPr>
          <w:ilvl w:val="0"/>
          <w:numId w:val="65"/>
        </w:numPr>
        <w:tabs>
          <w:tab w:pos="767" w:val="left" w:leader="none"/>
        </w:tabs>
        <w:spacing w:line="240" w:lineRule="auto" w:before="43" w:after="0"/>
        <w:ind w:left="767" w:right="0" w:hanging="529"/>
        <w:jc w:val="left"/>
        <w:rPr>
          <w:sz w:val="21"/>
        </w:rPr>
      </w:pPr>
      <w:r>
        <w:rPr>
          <w:spacing w:val="-4"/>
          <w:sz w:val="21"/>
        </w:rPr>
        <w:t>已经使用强心剂；</w:t>
      </w:r>
    </w:p>
    <w:p>
      <w:pPr>
        <w:pStyle w:val="ListParagraph"/>
        <w:numPr>
          <w:ilvl w:val="0"/>
          <w:numId w:val="65"/>
        </w:numPr>
        <w:tabs>
          <w:tab w:pos="767" w:val="left" w:leader="none"/>
        </w:tabs>
        <w:spacing w:line="240" w:lineRule="auto" w:before="43" w:after="0"/>
        <w:ind w:left="767" w:right="0" w:hanging="529"/>
        <w:jc w:val="left"/>
        <w:rPr>
          <w:sz w:val="21"/>
        </w:rPr>
      </w:pPr>
      <w:r>
        <w:rPr>
          <w:spacing w:val="-2"/>
          <w:sz w:val="21"/>
        </w:rPr>
        <w:t>昏迷：格拉斯哥昏迷分级（</w:t>
      </w:r>
      <w:r>
        <w:rPr>
          <w:rFonts w:ascii="Times New Roman" w:eastAsia="Times New Roman"/>
          <w:spacing w:val="-2"/>
          <w:sz w:val="21"/>
        </w:rPr>
        <w:t>GCS</w:t>
      </w:r>
      <w:r>
        <w:rPr>
          <w:spacing w:val="-2"/>
          <w:sz w:val="21"/>
        </w:rPr>
        <w:t>，</w:t>
      </w:r>
      <w:r>
        <w:rPr>
          <w:rFonts w:ascii="Times New Roman" w:eastAsia="Times New Roman"/>
          <w:spacing w:val="-2"/>
          <w:sz w:val="21"/>
        </w:rPr>
        <w:t>Glasgow</w:t>
      </w:r>
      <w:r>
        <w:rPr>
          <w:rFonts w:ascii="Times New Roman" w:eastAsia="Times New Roman"/>
          <w:spacing w:val="5"/>
          <w:sz w:val="21"/>
        </w:rPr>
        <w:t> </w:t>
      </w:r>
      <w:r>
        <w:rPr>
          <w:rFonts w:ascii="Times New Roman" w:eastAsia="Times New Roman"/>
          <w:spacing w:val="-2"/>
          <w:sz w:val="21"/>
        </w:rPr>
        <w:t>Coma</w:t>
      </w:r>
      <w:r>
        <w:rPr>
          <w:rFonts w:ascii="Times New Roman" w:eastAsia="Times New Roman"/>
          <w:spacing w:val="7"/>
          <w:sz w:val="21"/>
        </w:rPr>
        <w:t> </w:t>
      </w:r>
      <w:r>
        <w:rPr>
          <w:rFonts w:ascii="Times New Roman" w:eastAsia="Times New Roman"/>
          <w:spacing w:val="-2"/>
          <w:sz w:val="21"/>
        </w:rPr>
        <w:t>Scale</w:t>
      </w:r>
      <w:r>
        <w:rPr>
          <w:spacing w:val="-2"/>
          <w:sz w:val="21"/>
        </w:rPr>
        <w:t>）</w:t>
      </w:r>
      <w:r>
        <w:rPr>
          <w:spacing w:val="-13"/>
          <w:sz w:val="21"/>
        </w:rPr>
        <w:t>结果为 </w:t>
      </w:r>
      <w:r>
        <w:rPr>
          <w:spacing w:val="-2"/>
          <w:sz w:val="21"/>
        </w:rPr>
        <w:t>9</w:t>
      </w:r>
      <w:r>
        <w:rPr>
          <w:spacing w:val="-26"/>
          <w:sz w:val="21"/>
        </w:rPr>
        <w:t> 分或 </w:t>
      </w:r>
      <w:r>
        <w:rPr>
          <w:spacing w:val="-2"/>
          <w:sz w:val="21"/>
        </w:rPr>
        <w:t>9</w:t>
      </w:r>
      <w:r>
        <w:rPr>
          <w:spacing w:val="-14"/>
          <w:sz w:val="21"/>
        </w:rPr>
        <w:t> 分以下；</w:t>
      </w:r>
    </w:p>
    <w:p>
      <w:pPr>
        <w:pStyle w:val="ListParagraph"/>
        <w:numPr>
          <w:ilvl w:val="0"/>
          <w:numId w:val="65"/>
        </w:numPr>
        <w:tabs>
          <w:tab w:pos="767" w:val="left" w:leader="none"/>
        </w:tabs>
        <w:spacing w:line="278" w:lineRule="auto" w:before="43" w:after="0"/>
        <w:ind w:left="238" w:right="3337" w:firstLine="0"/>
        <w:jc w:val="left"/>
        <w:rPr>
          <w:b/>
          <w:sz w:val="21"/>
        </w:rPr>
      </w:pPr>
      <w:r>
        <w:rPr>
          <w:sz w:val="21"/>
        </w:rPr>
        <w:t>肾功能衰竭，血清肌酐</w:t>
      </w:r>
      <w:r>
        <w:rPr>
          <w:rFonts w:ascii="Times New Roman" w:hAnsi="Times New Roman" w:eastAsia="Times New Roman"/>
          <w:sz w:val="21"/>
        </w:rPr>
        <w:t>&gt;300μmol/L</w:t>
      </w:r>
      <w:r>
        <w:rPr>
          <w:rFonts w:ascii="Times New Roman" w:hAnsi="Times New Roman" w:eastAsia="Times New Roman"/>
          <w:spacing w:val="-14"/>
          <w:sz w:val="21"/>
        </w:rPr>
        <w:t> </w:t>
      </w:r>
      <w:r>
        <w:rPr>
          <w:sz w:val="21"/>
        </w:rPr>
        <w:t>或</w:t>
      </w:r>
      <w:r>
        <w:rPr>
          <w:rFonts w:ascii="Times New Roman" w:hAnsi="Times New Roman" w:eastAsia="Times New Roman"/>
          <w:sz w:val="21"/>
        </w:rPr>
        <w:t>&gt;3.5mg/dl</w:t>
      </w:r>
      <w:r>
        <w:rPr>
          <w:rFonts w:ascii="Times New Roman" w:hAnsi="Times New Roman" w:eastAsia="Times New Roman"/>
          <w:spacing w:val="-13"/>
          <w:sz w:val="21"/>
        </w:rPr>
        <w:t> </w:t>
      </w:r>
      <w:r>
        <w:rPr>
          <w:sz w:val="21"/>
        </w:rPr>
        <w:t>或尿量</w:t>
      </w:r>
      <w:r>
        <w:rPr>
          <w:rFonts w:ascii="Times New Roman" w:hAnsi="Times New Roman" w:eastAsia="Times New Roman"/>
          <w:sz w:val="21"/>
        </w:rPr>
        <w:t>&lt;500ml/d</w:t>
      </w:r>
      <w:r>
        <w:rPr>
          <w:sz w:val="21"/>
        </w:rPr>
        <w:t>；</w:t>
      </w:r>
      <w:r>
        <w:rPr>
          <w:b/>
          <w:spacing w:val="-2"/>
          <w:sz w:val="21"/>
        </w:rPr>
        <w:t>非败血症引起的多器官功能障碍综合症不在保障范围内。</w:t>
      </w:r>
    </w:p>
    <w:p>
      <w:pPr>
        <w:pStyle w:val="Heading5"/>
      </w:pPr>
      <w:r>
        <w:rPr>
          <w:spacing w:val="-3"/>
        </w:rPr>
        <w:t>九十五、头臂动脉型多发性大动脉炎旁路移植手术</w:t>
      </w:r>
    </w:p>
    <w:p>
      <w:pPr>
        <w:pStyle w:val="BodyText"/>
        <w:spacing w:line="278" w:lineRule="auto" w:before="43"/>
        <w:ind w:right="1549"/>
        <w:jc w:val="both"/>
      </w:pPr>
      <w:r>
        <w:rPr>
          <w:spacing w:val="-4"/>
        </w:rPr>
        <w:t>头臂动脉型多发性大动脉炎旁路移植手术：多发性大动脉炎（高安氏动脉炎）是一种发生在</w:t>
      </w:r>
      <w:r>
        <w:rPr>
          <w:spacing w:val="-4"/>
        </w:rPr>
        <w:t>主动脉和其主要分支的慢性炎症性动脉疾病，表现为受累动脉狭窄或闭塞。头臂动脉型多发</w:t>
      </w:r>
      <w:r>
        <w:rPr/>
        <w:t>性大动脉炎是指多发性大动脉炎头臂动脉型（</w:t>
      </w:r>
      <w:r>
        <w:rPr>
          <w:rFonts w:ascii="Calibri" w:eastAsia="Calibri"/>
        </w:rPr>
        <w:t>I</w:t>
      </w:r>
      <w:r>
        <w:rPr>
          <w:rFonts w:ascii="Calibri" w:eastAsia="Calibri"/>
          <w:spacing w:val="-8"/>
        </w:rPr>
        <w:t> </w:t>
      </w:r>
      <w:r>
        <w:rPr/>
        <w:t>型），又称为无脉症。被保险人被明确诊断</w:t>
      </w:r>
      <w:r>
        <w:rPr>
          <w:spacing w:val="-4"/>
        </w:rPr>
        <w:t>为头臂动脉型多发性大动脉炎并且实际接受了经胸部切开进行的无名动脉（头臂干）、颈总</w:t>
      </w:r>
      <w:r>
        <w:rPr>
          <w:spacing w:val="-2"/>
        </w:rPr>
        <w:t>动脉、锁骨下动脉旁路移植手术。</w:t>
      </w:r>
    </w:p>
    <w:p>
      <w:pPr>
        <w:pStyle w:val="Heading5"/>
        <w:spacing w:line="278" w:lineRule="auto"/>
        <w:ind w:right="1549"/>
      </w:pPr>
      <w:r>
        <w:rPr>
          <w:spacing w:val="-2"/>
        </w:rPr>
        <w:t>非开胸的血管旁路移植手术、因其他病因而进行的旁路移植手术，对其他动脉进行的旁路</w:t>
      </w:r>
      <w:r>
        <w:rPr>
          <w:spacing w:val="-2"/>
        </w:rPr>
        <w:t>移植手术，经皮经导管进行的血管内手术不在保障范围内。</w:t>
      </w:r>
    </w:p>
    <w:p>
      <w:pPr>
        <w:spacing w:line="269" w:lineRule="exact" w:before="0"/>
        <w:ind w:left="238" w:right="0" w:firstLine="0"/>
        <w:jc w:val="left"/>
        <w:rPr>
          <w:b/>
          <w:sz w:val="21"/>
        </w:rPr>
      </w:pPr>
      <w:r>
        <w:rPr>
          <w:b/>
          <w:spacing w:val="-3"/>
          <w:sz w:val="21"/>
        </w:rPr>
        <w:t>九十六、范可尼综合征</w:t>
      </w:r>
    </w:p>
    <w:p>
      <w:pPr>
        <w:pStyle w:val="BodyText"/>
        <w:spacing w:before="42"/>
      </w:pPr>
      <w:r>
        <w:rPr>
          <w:spacing w:val="-3"/>
        </w:rPr>
        <w:t>指近端肾小管的功能异常引起的一组症候群。须满足下列至少三个条件：</w:t>
      </w:r>
    </w:p>
    <w:p>
      <w:pPr>
        <w:pStyle w:val="ListParagraph"/>
        <w:numPr>
          <w:ilvl w:val="0"/>
          <w:numId w:val="66"/>
        </w:numPr>
        <w:tabs>
          <w:tab w:pos="870" w:val="left" w:leader="none"/>
        </w:tabs>
        <w:spacing w:line="240" w:lineRule="auto" w:before="43" w:after="0"/>
        <w:ind w:left="869" w:right="0" w:hanging="632"/>
        <w:jc w:val="left"/>
        <w:rPr>
          <w:sz w:val="21"/>
        </w:rPr>
      </w:pPr>
      <w:r>
        <w:rPr>
          <w:spacing w:val="-3"/>
          <w:sz w:val="21"/>
        </w:rPr>
        <w:t>尿液检查出现肾性糖尿、全氨基酸糖尿或磷酸盐尿；</w:t>
      </w:r>
    </w:p>
    <w:p>
      <w:pPr>
        <w:pStyle w:val="ListParagraph"/>
        <w:numPr>
          <w:ilvl w:val="0"/>
          <w:numId w:val="66"/>
        </w:numPr>
        <w:tabs>
          <w:tab w:pos="767" w:val="left" w:leader="none"/>
        </w:tabs>
        <w:spacing w:line="240" w:lineRule="auto" w:before="44" w:after="0"/>
        <w:ind w:left="767" w:right="0" w:hanging="529"/>
        <w:jc w:val="left"/>
        <w:rPr>
          <w:sz w:val="21"/>
        </w:rPr>
      </w:pPr>
      <w:r>
        <w:rPr>
          <w:spacing w:val="-3"/>
          <w:sz w:val="21"/>
        </w:rPr>
        <w:t>血液检查出现低磷血症、低尿酸血症或近端肾小管酸中毒；</w:t>
      </w:r>
    </w:p>
    <w:p>
      <w:pPr>
        <w:pStyle w:val="ListParagraph"/>
        <w:numPr>
          <w:ilvl w:val="0"/>
          <w:numId w:val="66"/>
        </w:numPr>
        <w:tabs>
          <w:tab w:pos="767" w:val="left" w:leader="none"/>
        </w:tabs>
        <w:spacing w:line="240" w:lineRule="auto" w:before="43" w:after="0"/>
        <w:ind w:left="767" w:right="0" w:hanging="529"/>
        <w:jc w:val="left"/>
        <w:rPr>
          <w:sz w:val="21"/>
        </w:rPr>
      </w:pPr>
      <w:r>
        <w:rPr>
          <w:spacing w:val="-3"/>
          <w:sz w:val="21"/>
        </w:rPr>
        <w:t>出现骨质疏松、骨骼畸形或尿路结石；</w:t>
      </w:r>
    </w:p>
    <w:p>
      <w:pPr>
        <w:pStyle w:val="ListParagraph"/>
        <w:numPr>
          <w:ilvl w:val="0"/>
          <w:numId w:val="66"/>
        </w:numPr>
        <w:tabs>
          <w:tab w:pos="767" w:val="left" w:leader="none"/>
        </w:tabs>
        <w:spacing w:line="278" w:lineRule="auto" w:before="43" w:after="0"/>
        <w:ind w:left="238" w:right="1985" w:firstLine="0"/>
        <w:jc w:val="left"/>
        <w:rPr>
          <w:b/>
          <w:sz w:val="21"/>
        </w:rPr>
      </w:pPr>
      <w:r>
        <w:rPr>
          <w:spacing w:val="-2"/>
          <w:sz w:val="21"/>
        </w:rPr>
        <w:t>通过骨髓片、白细胞、直肠黏膜中的结晶分析或裂隙灯检查角膜有胱氨酸结晶。</w:t>
      </w:r>
      <w:r>
        <w:rPr>
          <w:b/>
          <w:sz w:val="21"/>
        </w:rPr>
        <w:t>九十七、</w:t>
      </w:r>
      <w:r>
        <w:rPr>
          <w:rFonts w:ascii="Times New Roman" w:eastAsia="Times New Roman"/>
          <w:b/>
          <w:sz w:val="21"/>
        </w:rPr>
        <w:t>Brugada </w:t>
      </w:r>
      <w:r>
        <w:rPr>
          <w:b/>
          <w:sz w:val="21"/>
        </w:rPr>
        <w:t>综合征</w:t>
      </w:r>
    </w:p>
    <w:p>
      <w:pPr>
        <w:pStyle w:val="BodyText"/>
        <w:spacing w:line="278" w:lineRule="auto"/>
        <w:ind w:right="1554"/>
      </w:pPr>
      <w:r>
        <w:rPr/>
        <w:t>由心脏科专科医生根据临床症状和典型心电图表现明确诊断, 并且经专科医生判断认为必</w:t>
      </w:r>
      <w:r>
        <w:rPr>
          <w:spacing w:val="-2"/>
        </w:rPr>
        <w:t>须安装且实际已安装了永久性心脏除颤器。</w:t>
      </w:r>
    </w:p>
    <w:p>
      <w:pPr>
        <w:pStyle w:val="Heading5"/>
        <w:spacing w:line="269" w:lineRule="exact"/>
      </w:pPr>
      <w:r>
        <w:rPr>
          <w:spacing w:val="-3"/>
        </w:rPr>
        <w:t>九十八、严重强直性脊柱炎</w:t>
      </w:r>
    </w:p>
    <w:p>
      <w:pPr>
        <w:spacing w:after="0" w:line="269" w:lineRule="exact"/>
        <w:sectPr>
          <w:pgSz w:w="11910" w:h="16840"/>
          <w:pgMar w:header="0" w:footer="1005" w:top="1400" w:bottom="1200" w:left="1560" w:right="240"/>
        </w:sectPr>
      </w:pPr>
    </w:p>
    <w:p>
      <w:pPr>
        <w:pStyle w:val="BodyText"/>
        <w:spacing w:line="278" w:lineRule="auto" w:before="44"/>
        <w:ind w:right="1549"/>
      </w:pPr>
      <w:r>
        <w:rPr>
          <w:spacing w:val="-4"/>
        </w:rPr>
        <w:t>强直性脊柱炎是一种慢性全身性炎性疾病，主要侵犯脊柱导致脊柱畸形。强直性脊柱炎须同</w:t>
      </w:r>
      <w:r>
        <w:rPr>
          <w:spacing w:val="-2"/>
        </w:rPr>
        <w:t>时满足下列全部条件：</w:t>
      </w:r>
    </w:p>
    <w:p>
      <w:pPr>
        <w:pStyle w:val="ListParagraph"/>
        <w:numPr>
          <w:ilvl w:val="0"/>
          <w:numId w:val="67"/>
        </w:numPr>
        <w:tabs>
          <w:tab w:pos="767" w:val="left" w:leader="none"/>
        </w:tabs>
        <w:spacing w:line="240" w:lineRule="auto" w:before="0" w:after="0"/>
        <w:ind w:left="767" w:right="0" w:hanging="529"/>
        <w:jc w:val="left"/>
        <w:rPr>
          <w:sz w:val="21"/>
        </w:rPr>
      </w:pPr>
      <w:r>
        <w:rPr>
          <w:spacing w:val="-4"/>
          <w:sz w:val="21"/>
        </w:rPr>
        <w:t>严重脊柱畸形；</w:t>
      </w:r>
    </w:p>
    <w:p>
      <w:pPr>
        <w:pStyle w:val="ListParagraph"/>
        <w:numPr>
          <w:ilvl w:val="0"/>
          <w:numId w:val="67"/>
        </w:numPr>
        <w:tabs>
          <w:tab w:pos="767" w:val="left" w:leader="none"/>
        </w:tabs>
        <w:spacing w:line="278" w:lineRule="auto" w:before="43" w:after="0"/>
        <w:ind w:left="238" w:right="1565" w:firstLine="0"/>
        <w:jc w:val="left"/>
        <w:rPr>
          <w:b/>
          <w:sz w:val="21"/>
        </w:rPr>
      </w:pPr>
      <w:r>
        <w:rPr>
          <w:spacing w:val="-2"/>
          <w:sz w:val="21"/>
        </w:rPr>
        <w:t>自主生活能力完全丧失，无法独立完成六项基本日常生活活动中的三项或三项以上。</w:t>
      </w:r>
      <w:r>
        <w:rPr>
          <w:b/>
          <w:spacing w:val="-2"/>
          <w:sz w:val="21"/>
        </w:rPr>
        <w:t>九十九、Ⅲ度房室传导阻滞</w:t>
      </w:r>
    </w:p>
    <w:p>
      <w:pPr>
        <w:pStyle w:val="BodyText"/>
        <w:spacing w:line="278" w:lineRule="auto"/>
        <w:ind w:right="1549"/>
      </w:pPr>
      <w:r>
        <w:rPr>
          <w:spacing w:val="-4"/>
        </w:rPr>
        <w:t>指心房激动在房室交界区、房室束及其分支内发生阻滞，不能正常地传到心室的心脏传导性</w:t>
      </w:r>
      <w:r>
        <w:rPr>
          <w:spacing w:val="-2"/>
        </w:rPr>
        <w:t>疾病，须满足下列所有条件：</w:t>
      </w:r>
    </w:p>
    <w:p>
      <w:pPr>
        <w:pStyle w:val="ListParagraph"/>
        <w:numPr>
          <w:ilvl w:val="0"/>
          <w:numId w:val="68"/>
        </w:numPr>
        <w:tabs>
          <w:tab w:pos="767" w:val="left" w:leader="none"/>
        </w:tabs>
        <w:spacing w:line="269" w:lineRule="exact" w:before="0" w:after="0"/>
        <w:ind w:left="767" w:right="0" w:hanging="529"/>
        <w:jc w:val="left"/>
        <w:rPr>
          <w:sz w:val="21"/>
        </w:rPr>
      </w:pPr>
      <w:r>
        <w:rPr>
          <w:spacing w:val="-2"/>
          <w:sz w:val="21"/>
        </w:rPr>
        <w:t>心电图显示房室搏动彼此独立，心室率＜50</w:t>
      </w:r>
      <w:r>
        <w:rPr>
          <w:spacing w:val="-11"/>
          <w:sz w:val="21"/>
        </w:rPr>
        <w:t> 次/分钟；</w:t>
      </w:r>
    </w:p>
    <w:p>
      <w:pPr>
        <w:pStyle w:val="ListParagraph"/>
        <w:numPr>
          <w:ilvl w:val="0"/>
          <w:numId w:val="68"/>
        </w:numPr>
        <w:tabs>
          <w:tab w:pos="767" w:val="left" w:leader="none"/>
        </w:tabs>
        <w:spacing w:line="240" w:lineRule="auto" w:before="43" w:after="0"/>
        <w:ind w:left="767" w:right="0" w:hanging="529"/>
        <w:jc w:val="left"/>
        <w:rPr>
          <w:sz w:val="21"/>
        </w:rPr>
      </w:pPr>
      <w:r>
        <w:rPr>
          <w:spacing w:val="-3"/>
          <w:sz w:val="21"/>
        </w:rPr>
        <w:t>出现阿-斯综合征或心力衰竭的表现；</w:t>
      </w:r>
    </w:p>
    <w:p>
      <w:pPr>
        <w:pStyle w:val="ListParagraph"/>
        <w:numPr>
          <w:ilvl w:val="0"/>
          <w:numId w:val="68"/>
        </w:numPr>
        <w:tabs>
          <w:tab w:pos="767" w:val="left" w:leader="none"/>
        </w:tabs>
        <w:spacing w:line="278" w:lineRule="auto" w:before="43" w:after="0"/>
        <w:ind w:left="238" w:right="1985" w:firstLine="0"/>
        <w:jc w:val="left"/>
        <w:rPr>
          <w:b/>
          <w:sz w:val="21"/>
        </w:rPr>
      </w:pPr>
      <w:r>
        <w:rPr>
          <w:spacing w:val="-2"/>
          <w:sz w:val="21"/>
        </w:rPr>
        <w:t>必须持续性依赖心脏起搏器维持心脏正常功能，且已经放置永久性心脏起搏器。</w:t>
      </w:r>
      <w:r>
        <w:rPr>
          <w:b/>
          <w:spacing w:val="-2"/>
          <w:sz w:val="21"/>
        </w:rPr>
        <w:t>一百、严重脊髓灰质炎</w:t>
      </w:r>
    </w:p>
    <w:p>
      <w:pPr>
        <w:spacing w:line="278" w:lineRule="auto" w:before="0"/>
        <w:ind w:left="238" w:right="1549" w:firstLine="0"/>
        <w:jc w:val="both"/>
        <w:rPr>
          <w:sz w:val="21"/>
        </w:rPr>
      </w:pPr>
      <w:r>
        <w:rPr>
          <w:spacing w:val="-6"/>
          <w:sz w:val="21"/>
        </w:rPr>
        <w:t>脊髓灰质炎是由于脊髓灰质炎病毒感染所致的瘫痪性疾病，临床表现为运动功能损害或呼吸</w:t>
      </w:r>
      <w:r>
        <w:rPr>
          <w:spacing w:val="-2"/>
          <w:sz w:val="21"/>
        </w:rPr>
        <w:t>无力。脊髓灰质炎必须明确诊断。</w:t>
      </w:r>
      <w:r>
        <w:rPr>
          <w:b/>
          <w:spacing w:val="-2"/>
          <w:sz w:val="21"/>
        </w:rPr>
        <w:t>本合同仅对脊髓灰质炎造成的神经系统功能损害导致被</w:t>
      </w:r>
      <w:r>
        <w:rPr>
          <w:b/>
          <w:spacing w:val="-2"/>
          <w:sz w:val="21"/>
        </w:rPr>
        <w:t>保险人一肢或一肢以上肢体机能永久完全丧失的情况予以理赔。</w:t>
      </w:r>
      <w:r>
        <w:rPr>
          <w:spacing w:val="-2"/>
          <w:sz w:val="21"/>
        </w:rPr>
        <w:t>肢体机能永久完全丧失，</w:t>
      </w:r>
      <w:r>
        <w:rPr>
          <w:spacing w:val="-4"/>
          <w:sz w:val="21"/>
        </w:rPr>
        <w:t>指疾病确诊 </w:t>
      </w:r>
      <w:r>
        <w:rPr>
          <w:sz w:val="21"/>
        </w:rPr>
        <w:t>180</w:t>
      </w:r>
      <w:r>
        <w:rPr>
          <w:spacing w:val="-5"/>
          <w:sz w:val="21"/>
        </w:rPr>
        <w:t> 天后，每肢三大关节中的两大关节仍然完全僵硬，或不能随意识活动。</w:t>
      </w:r>
    </w:p>
    <w:p>
      <w:pPr>
        <w:spacing w:after="0" w:line="278" w:lineRule="auto"/>
        <w:jc w:val="both"/>
        <w:rPr>
          <w:sz w:val="21"/>
        </w:rPr>
        <w:sectPr>
          <w:pgSz w:w="11910" w:h="16840"/>
          <w:pgMar w:header="0" w:footer="1005" w:top="1400" w:bottom="1200" w:left="1560" w:right="240"/>
        </w:sectPr>
      </w:pPr>
    </w:p>
    <w:p>
      <w:pPr>
        <w:pStyle w:val="BodyText"/>
        <w:spacing w:before="44"/>
      </w:pPr>
      <w:r>
        <w:rPr>
          <w:spacing w:val="-4"/>
        </w:rPr>
        <w:t>附表二：</w:t>
      </w:r>
    </w:p>
    <w:p>
      <w:pPr>
        <w:spacing w:line="240" w:lineRule="auto" w:before="3"/>
        <w:rPr>
          <w:sz w:val="35"/>
        </w:rPr>
      </w:pPr>
      <w:r>
        <w:rPr/>
        <w:br w:type="column"/>
      </w:r>
      <w:r>
        <w:rPr>
          <w:sz w:val="35"/>
        </w:rPr>
      </w:r>
    </w:p>
    <w:p>
      <w:pPr>
        <w:pStyle w:val="Heading1"/>
      </w:pPr>
      <w:r>
        <w:rPr>
          <w:w w:val="95"/>
        </w:rPr>
        <w:t>中症疾病</w:t>
      </w:r>
      <w:r>
        <w:rPr>
          <w:w w:val="95"/>
        </w:rPr>
        <w:t>列</w:t>
      </w:r>
      <w:r>
        <w:rPr>
          <w:spacing w:val="-10"/>
          <w:w w:val="95"/>
        </w:rPr>
        <w:t>表</w:t>
      </w:r>
    </w:p>
    <w:p>
      <w:pPr>
        <w:spacing w:after="0"/>
        <w:sectPr>
          <w:pgSz w:w="11910" w:h="16840"/>
          <w:pgMar w:header="0" w:footer="1005" w:top="1400" w:bottom="1200" w:left="1560" w:right="240"/>
          <w:cols w:num="2" w:equalWidth="0">
            <w:col w:w="1121" w:space="2131"/>
            <w:col w:w="6858"/>
          </w:cols>
        </w:sectPr>
      </w:pPr>
    </w:p>
    <w:p>
      <w:pPr>
        <w:pStyle w:val="BodyText"/>
        <w:spacing w:before="4"/>
        <w:ind w:left="0"/>
        <w:rPr>
          <w:b/>
          <w:sz w:val="29"/>
        </w:rPr>
      </w:pPr>
    </w:p>
    <w:p>
      <w:pPr>
        <w:pStyle w:val="Heading4"/>
        <w:spacing w:line="266" w:lineRule="auto"/>
      </w:pPr>
      <w:r>
        <w:rPr>
          <w:spacing w:val="-2"/>
          <w:w w:val="95"/>
        </w:rPr>
        <w:t>本</w:t>
      </w:r>
      <w:r>
        <w:rPr>
          <w:spacing w:val="-2"/>
          <w:w w:val="95"/>
        </w:rPr>
        <w:t>合</w:t>
      </w:r>
      <w:r>
        <w:rPr>
          <w:spacing w:val="-13"/>
          <w:w w:val="95"/>
        </w:rPr>
        <w:t>同所指中症疾病，是被</w:t>
      </w:r>
      <w:r>
        <w:rPr>
          <w:spacing w:val="-2"/>
          <w:w w:val="95"/>
        </w:rPr>
        <w:t>保</w:t>
      </w:r>
      <w:r>
        <w:rPr>
          <w:spacing w:val="-2"/>
          <w:w w:val="95"/>
        </w:rPr>
        <w:t>险</w:t>
      </w:r>
      <w:r>
        <w:rPr>
          <w:spacing w:val="-2"/>
          <w:w w:val="95"/>
        </w:rPr>
        <w:t>人发生符合以下定义</w:t>
      </w:r>
      <w:r>
        <w:rPr>
          <w:spacing w:val="-2"/>
          <w:w w:val="95"/>
        </w:rPr>
        <w:t>所</w:t>
      </w:r>
      <w:r>
        <w:rPr>
          <w:spacing w:val="-2"/>
          <w:w w:val="95"/>
        </w:rPr>
        <w:t>述</w:t>
      </w:r>
      <w:r>
        <w:rPr>
          <w:spacing w:val="-14"/>
          <w:w w:val="95"/>
        </w:rPr>
        <w:t>条件的疾病、疾病状态</w:t>
      </w:r>
      <w:r>
        <w:rPr>
          <w:spacing w:val="-2"/>
          <w:w w:val="95"/>
        </w:rPr>
        <w:t>或</w:t>
      </w:r>
      <w:r>
        <w:rPr>
          <w:spacing w:val="-2"/>
          <w:w w:val="95"/>
        </w:rPr>
        <w:t>手</w:t>
      </w:r>
      <w:r>
        <w:rPr>
          <w:spacing w:val="-2"/>
          <w:w w:val="95"/>
        </w:rPr>
        <w:t>术，</w:t>
      </w:r>
      <w:r>
        <w:rPr>
          <w:spacing w:val="-2"/>
          <w:w w:val="95"/>
        </w:rPr>
        <w:t>共</w:t>
      </w:r>
      <w:r>
        <w:rPr>
          <w:spacing w:val="-2"/>
          <w:w w:val="95"/>
        </w:rPr>
        <w:t>计</w:t>
      </w:r>
      <w:r>
        <w:rPr>
          <w:spacing w:val="-2"/>
          <w:w w:val="95"/>
        </w:rPr>
        <w:t>二十五种，该疾病或</w:t>
      </w:r>
      <w:r>
        <w:rPr>
          <w:spacing w:val="-2"/>
          <w:w w:val="95"/>
        </w:rPr>
        <w:t>手</w:t>
      </w:r>
      <w:r>
        <w:rPr>
          <w:spacing w:val="-2"/>
          <w:w w:val="95"/>
        </w:rPr>
        <w:t>术</w:t>
      </w:r>
      <w:r>
        <w:rPr>
          <w:spacing w:val="-2"/>
          <w:w w:val="95"/>
        </w:rPr>
        <w:t>应由专科医生明确诊</w:t>
      </w:r>
      <w:r>
        <w:rPr>
          <w:spacing w:val="-2"/>
          <w:w w:val="95"/>
        </w:rPr>
        <w:t>断</w:t>
      </w:r>
      <w:r>
        <w:rPr>
          <w:spacing w:val="-2"/>
          <w:w w:val="95"/>
        </w:rPr>
        <w:t>。</w:t>
      </w:r>
    </w:p>
    <w:p>
      <w:pPr>
        <w:pStyle w:val="Heading5"/>
        <w:spacing w:before="8"/>
      </w:pPr>
      <w:r>
        <w:rPr>
          <w:spacing w:val="-3"/>
        </w:rPr>
        <w:t>一、中度类风湿性关节炎</w:t>
      </w:r>
    </w:p>
    <w:p>
      <w:pPr>
        <w:pStyle w:val="BodyText"/>
        <w:spacing w:line="278" w:lineRule="auto" w:before="43"/>
        <w:ind w:right="1445"/>
      </w:pPr>
      <w:r>
        <w:rPr>
          <w:spacing w:val="-2"/>
          <w:w w:val="100"/>
        </w:rPr>
        <w:t>根据美国风湿病学会</w:t>
      </w:r>
      <w:r>
        <w:rPr>
          <w:spacing w:val="-1"/>
          <w:w w:val="100"/>
        </w:rPr>
        <w:t>（</w:t>
      </w:r>
      <w:r>
        <w:rPr>
          <w:spacing w:val="-3"/>
          <w:w w:val="100"/>
        </w:rPr>
        <w:t>A</w:t>
      </w:r>
      <w:r>
        <w:rPr>
          <w:w w:val="100"/>
        </w:rPr>
        <w:t>C</w:t>
      </w:r>
      <w:r>
        <w:rPr>
          <w:spacing w:val="-2"/>
          <w:w w:val="100"/>
        </w:rPr>
        <w:t>R</w:t>
      </w:r>
      <w:r>
        <w:rPr>
          <w:w w:val="100"/>
        </w:rPr>
        <w:t>）</w:t>
      </w:r>
      <w:r>
        <w:rPr>
          <w:spacing w:val="-3"/>
          <w:w w:val="100"/>
        </w:rPr>
        <w:t>的诊断标准，由风湿科专科医生明确诊断并符合下列所有理赔</w:t>
      </w:r>
      <w:r>
        <w:rPr>
          <w:spacing w:val="-16"/>
          <w:w w:val="100"/>
        </w:rPr>
        <w:t>条件，但未达到本合同重大疾病“严重类风湿性关节炎”的给付标准：表现为关节严重变形，</w:t>
      </w:r>
      <w:r>
        <w:rPr>
          <w:spacing w:val="-8"/>
          <w:w w:val="100"/>
        </w:rPr>
        <w:t>侵犯至少两个主要关节或关节组</w:t>
      </w:r>
      <w:r>
        <w:rPr>
          <w:w w:val="100"/>
        </w:rPr>
        <w:t>（</w:t>
      </w:r>
      <w:r>
        <w:rPr>
          <w:spacing w:val="-8"/>
          <w:w w:val="100"/>
        </w:rPr>
        <w:t>如：双手</w:t>
      </w:r>
      <w:r>
        <w:rPr>
          <w:spacing w:val="-3"/>
          <w:w w:val="100"/>
        </w:rPr>
        <w:t>（</w:t>
      </w:r>
      <w:r>
        <w:rPr>
          <w:spacing w:val="-2"/>
          <w:w w:val="100"/>
        </w:rPr>
        <w:t>多手指</w:t>
      </w:r>
      <w:r>
        <w:rPr>
          <w:spacing w:val="-13"/>
          <w:w w:val="100"/>
        </w:rPr>
        <w:t>）</w:t>
      </w:r>
      <w:r>
        <w:rPr>
          <w:spacing w:val="-8"/>
          <w:w w:val="100"/>
        </w:rPr>
        <w:t>关节、双足</w:t>
      </w:r>
      <w:r>
        <w:rPr>
          <w:w w:val="100"/>
        </w:rPr>
        <w:t>（</w:t>
      </w:r>
      <w:r>
        <w:rPr>
          <w:spacing w:val="-3"/>
          <w:w w:val="100"/>
        </w:rPr>
        <w:t>多足趾</w:t>
      </w:r>
      <w:r>
        <w:rPr>
          <w:spacing w:val="-13"/>
          <w:w w:val="100"/>
        </w:rPr>
        <w:t>）</w:t>
      </w:r>
      <w:r>
        <w:rPr>
          <w:spacing w:val="-4"/>
          <w:w w:val="100"/>
        </w:rPr>
        <w:t>关节、双腕关节、双膝关节和双髋关节</w:t>
      </w:r>
      <w:r>
        <w:rPr>
          <w:spacing w:val="-108"/>
          <w:w w:val="100"/>
        </w:rPr>
        <w:t>）</w:t>
      </w:r>
      <w:r>
        <w:rPr>
          <w:spacing w:val="-3"/>
          <w:w w:val="100"/>
        </w:rPr>
        <w:t>。类风湿性关节炎必须明确诊断并且已经达到类风湿性关节炎功能分级Ⅲ级以上的功能障碍</w:t>
      </w:r>
      <w:r>
        <w:rPr>
          <w:w w:val="100"/>
        </w:rPr>
        <w:t>（</w:t>
      </w:r>
      <w:r>
        <w:rPr>
          <w:spacing w:val="-3"/>
          <w:w w:val="100"/>
        </w:rPr>
        <w:t>关节活动严重限制，不能完成大部分的日常工作和活动</w:t>
      </w:r>
      <w:r>
        <w:rPr>
          <w:spacing w:val="-108"/>
          <w:w w:val="100"/>
        </w:rPr>
        <w:t>）</w:t>
      </w:r>
      <w:r>
        <w:rPr>
          <w:w w:val="100"/>
        </w:rPr>
        <w:t>。</w:t>
      </w:r>
    </w:p>
    <w:p>
      <w:pPr>
        <w:pStyle w:val="Heading5"/>
        <w:spacing w:line="268" w:lineRule="exact"/>
      </w:pPr>
      <w:r>
        <w:rPr>
          <w:spacing w:val="-3"/>
        </w:rPr>
        <w:t>二、中度肌营养不良症</w:t>
      </w:r>
    </w:p>
    <w:p>
      <w:pPr>
        <w:pStyle w:val="BodyText"/>
        <w:spacing w:line="278" w:lineRule="auto" w:before="44"/>
        <w:ind w:right="1549"/>
      </w:pPr>
      <w:r>
        <w:rPr>
          <w:spacing w:val="-4"/>
        </w:rPr>
        <w:t>指一组原发于肌肉的遗传性疾病，临床表现为与神经系统无关的肌肉无力和肌肉萎缩。但未</w:t>
      </w:r>
      <w:r>
        <w:rPr>
          <w:spacing w:val="-2"/>
        </w:rPr>
        <w:t>达到本合同重大疾病“严重肌营养不良症”的给付标准。</w:t>
      </w:r>
    </w:p>
    <w:p>
      <w:pPr>
        <w:pStyle w:val="BodyText"/>
        <w:spacing w:line="269" w:lineRule="exact"/>
      </w:pPr>
      <w:r>
        <w:rPr>
          <w:spacing w:val="-3"/>
        </w:rPr>
        <w:t>须满足下列全部条件：</w:t>
      </w:r>
    </w:p>
    <w:p>
      <w:pPr>
        <w:pStyle w:val="ListParagraph"/>
        <w:numPr>
          <w:ilvl w:val="0"/>
          <w:numId w:val="69"/>
        </w:numPr>
        <w:tabs>
          <w:tab w:pos="767" w:val="left" w:leader="none"/>
        </w:tabs>
        <w:spacing w:line="240" w:lineRule="auto" w:before="43" w:after="0"/>
        <w:ind w:left="767" w:right="0" w:hanging="529"/>
        <w:jc w:val="left"/>
        <w:rPr>
          <w:sz w:val="21"/>
        </w:rPr>
      </w:pPr>
      <w:r>
        <w:rPr>
          <w:spacing w:val="-3"/>
          <w:sz w:val="21"/>
        </w:rPr>
        <w:t>肌肉组织活检结果满足肌营养不良症的肌肉细胞变性、坏死等阳性改变；</w:t>
      </w:r>
    </w:p>
    <w:p>
      <w:pPr>
        <w:pStyle w:val="ListParagraph"/>
        <w:numPr>
          <w:ilvl w:val="0"/>
          <w:numId w:val="69"/>
        </w:numPr>
        <w:tabs>
          <w:tab w:pos="767" w:val="left" w:leader="none"/>
        </w:tabs>
        <w:spacing w:line="278" w:lineRule="auto" w:before="43" w:after="0"/>
        <w:ind w:left="238" w:right="1549" w:firstLine="0"/>
        <w:jc w:val="left"/>
        <w:rPr>
          <w:sz w:val="21"/>
        </w:rPr>
      </w:pPr>
      <w:r>
        <w:rPr>
          <w:spacing w:val="-2"/>
          <w:sz w:val="21"/>
        </w:rPr>
        <w:t>自主生活能力部分丧失，经鉴定无法独立完成六项基本日常生活活动中的两项或两项</w:t>
      </w:r>
      <w:r>
        <w:rPr>
          <w:spacing w:val="-4"/>
          <w:sz w:val="21"/>
        </w:rPr>
        <w:t>以上。</w:t>
      </w:r>
    </w:p>
    <w:p>
      <w:pPr>
        <w:pStyle w:val="Heading5"/>
        <w:spacing w:line="278" w:lineRule="auto"/>
        <w:ind w:right="1643"/>
      </w:pPr>
      <w:r>
        <w:rPr>
          <w:spacing w:val="-2"/>
        </w:rPr>
        <w:t>本公司承担本项疾病责任不受本合同责任免除中“遗传性疾病，先天性畸形、变形或染色</w:t>
      </w:r>
      <w:r>
        <w:rPr>
          <w:spacing w:val="-2"/>
        </w:rPr>
        <w:t>体异常”的限制。</w:t>
      </w:r>
    </w:p>
    <w:p>
      <w:pPr>
        <w:spacing w:line="269" w:lineRule="exact" w:before="0"/>
        <w:ind w:left="238" w:right="0" w:firstLine="0"/>
        <w:jc w:val="left"/>
        <w:rPr>
          <w:b/>
          <w:sz w:val="21"/>
        </w:rPr>
      </w:pPr>
      <w:r>
        <w:rPr>
          <w:b/>
          <w:spacing w:val="-3"/>
          <w:sz w:val="21"/>
        </w:rPr>
        <w:t>三、特定的系统性红斑狼疮</w:t>
      </w:r>
    </w:p>
    <w:p>
      <w:pPr>
        <w:pStyle w:val="BodyText"/>
        <w:spacing w:before="42"/>
      </w:pPr>
      <w:r>
        <w:rPr>
          <w:spacing w:val="-3"/>
        </w:rPr>
        <w:t>指诊断为系统性红斑狼疮，且满足下列全部条件：</w:t>
      </w:r>
    </w:p>
    <w:p>
      <w:pPr>
        <w:pStyle w:val="ListParagraph"/>
        <w:numPr>
          <w:ilvl w:val="0"/>
          <w:numId w:val="70"/>
        </w:numPr>
        <w:tabs>
          <w:tab w:pos="767" w:val="left" w:leader="none"/>
        </w:tabs>
        <w:spacing w:line="240" w:lineRule="auto" w:before="43" w:after="0"/>
        <w:ind w:left="767" w:right="0" w:hanging="529"/>
        <w:jc w:val="left"/>
        <w:rPr>
          <w:sz w:val="21"/>
        </w:rPr>
      </w:pPr>
      <w:r>
        <w:rPr>
          <w:spacing w:val="-3"/>
          <w:sz w:val="21"/>
        </w:rPr>
        <w:t>在下列五项情况中出现最少三项：</w:t>
      </w:r>
    </w:p>
    <w:p>
      <w:pPr>
        <w:pStyle w:val="BodyText"/>
        <w:spacing w:before="43"/>
      </w:pPr>
      <w:r>
        <w:rPr>
          <w:spacing w:val="-3"/>
        </w:rPr>
        <w:t>①关节炎：非磨损性关节炎，需涉及两个或两个以上关节；</w:t>
      </w:r>
    </w:p>
    <w:p>
      <w:pPr>
        <w:pStyle w:val="BodyText"/>
        <w:spacing w:before="44"/>
      </w:pPr>
      <w:r>
        <w:rPr>
          <w:spacing w:val="-3"/>
        </w:rPr>
        <w:t>②浆膜炎：胸膜炎或心包炎；</w:t>
      </w:r>
    </w:p>
    <w:p>
      <w:pPr>
        <w:pStyle w:val="BodyText"/>
        <w:spacing w:before="43"/>
      </w:pPr>
      <w:r>
        <w:rPr>
          <w:spacing w:val="-2"/>
        </w:rPr>
        <w:t>③肾病：24</w:t>
      </w:r>
      <w:r>
        <w:rPr>
          <w:spacing w:val="-13"/>
        </w:rPr>
        <w:t> 小时尿蛋白定量达到 </w:t>
      </w:r>
      <w:r>
        <w:rPr>
          <w:spacing w:val="-2"/>
        </w:rPr>
        <w:t>0.5</w:t>
      </w:r>
      <w:r>
        <w:rPr>
          <w:spacing w:val="-10"/>
        </w:rPr>
        <w:t> 克，或尿液检查出现细胞管型；</w:t>
      </w:r>
    </w:p>
    <w:p>
      <w:pPr>
        <w:pStyle w:val="BodyText"/>
        <w:spacing w:before="43"/>
      </w:pPr>
      <w:r>
        <w:rPr>
          <w:spacing w:val="-3"/>
        </w:rPr>
        <w:t>④血液学异常：溶血性贫血、白细胞减少、或血小板减少；</w:t>
      </w:r>
    </w:p>
    <w:p>
      <w:pPr>
        <w:pStyle w:val="BodyText"/>
        <w:spacing w:before="42"/>
      </w:pPr>
      <w:r>
        <w:rPr>
          <w:spacing w:val="1"/>
        </w:rPr>
        <w:t>⑤抗核抗体阳性、或抗</w:t>
      </w:r>
      <w:r>
        <w:rPr/>
        <w:t>dsDNA</w:t>
      </w:r>
      <w:r>
        <w:rPr>
          <w:spacing w:val="-17"/>
        </w:rPr>
        <w:t> 阳性，或抗 </w:t>
      </w:r>
      <w:r>
        <w:rPr/>
        <w:t>Smith</w:t>
      </w:r>
      <w:r>
        <w:rPr>
          <w:spacing w:val="-12"/>
        </w:rPr>
        <w:t> 抗体阳性。</w:t>
      </w:r>
    </w:p>
    <w:p>
      <w:pPr>
        <w:pStyle w:val="ListParagraph"/>
        <w:numPr>
          <w:ilvl w:val="0"/>
          <w:numId w:val="70"/>
        </w:numPr>
        <w:tabs>
          <w:tab w:pos="767" w:val="left" w:leader="none"/>
        </w:tabs>
        <w:spacing w:line="278" w:lineRule="auto" w:before="43" w:after="0"/>
        <w:ind w:left="238" w:right="2826" w:firstLine="0"/>
        <w:jc w:val="left"/>
        <w:rPr>
          <w:b/>
          <w:sz w:val="21"/>
        </w:rPr>
      </w:pPr>
      <w:r>
        <w:rPr>
          <w:spacing w:val="-2"/>
          <w:sz w:val="21"/>
        </w:rPr>
        <w:t>系统性红斑狼疮的诊断必须由医院的风湿科或免疫系统专科医生确定。</w:t>
      </w:r>
      <w:r>
        <w:rPr>
          <w:b/>
          <w:spacing w:val="-2"/>
          <w:sz w:val="21"/>
        </w:rPr>
        <w:t>四、中度脑炎后遗症或中度脑膜炎后遗症</w:t>
      </w:r>
    </w:p>
    <w:p>
      <w:pPr>
        <w:spacing w:line="278" w:lineRule="auto" w:before="0"/>
        <w:ind w:left="238" w:right="1443" w:firstLine="0"/>
        <w:jc w:val="left"/>
        <w:rPr>
          <w:b/>
          <w:sz w:val="21"/>
        </w:rPr>
      </w:pPr>
      <w:r>
        <w:rPr>
          <w:spacing w:val="1"/>
          <w:sz w:val="21"/>
        </w:rPr>
        <w:t>指因患脑炎或脑膜炎导致的神经系统的功能障碍。神经系统的功能障碍，指疾病确诊 </w:t>
      </w:r>
      <w:r>
        <w:rPr>
          <w:sz w:val="21"/>
        </w:rPr>
        <w:t>180</w:t>
      </w:r>
      <w:r>
        <w:rPr>
          <w:spacing w:val="-18"/>
          <w:sz w:val="21"/>
        </w:rPr>
        <w:t>天后，仍存在自主活动能力部分丧失，经鉴定无法独立完成六项基本日常生活活动中的两项。</w:t>
      </w:r>
      <w:r>
        <w:rPr>
          <w:b/>
          <w:spacing w:val="-2"/>
          <w:sz w:val="21"/>
        </w:rPr>
        <w:t>若被保险人已符合本合同所指的重大疾病“严重脑炎后遗症或严重脑膜炎后遗症”标准的，</w:t>
      </w:r>
      <w:r>
        <w:rPr>
          <w:b/>
          <w:spacing w:val="-2"/>
          <w:sz w:val="21"/>
        </w:rPr>
        <w:t>则不在保障范围内。</w:t>
      </w:r>
    </w:p>
    <w:p>
      <w:pPr>
        <w:pStyle w:val="Heading5"/>
        <w:spacing w:line="269" w:lineRule="exact"/>
      </w:pPr>
      <w:r>
        <w:rPr>
          <w:spacing w:val="-2"/>
        </w:rPr>
        <w:t>五、中度全身性（型）</w:t>
      </w:r>
      <w:r>
        <w:rPr>
          <w:spacing w:val="-5"/>
        </w:rPr>
        <w:t>肌无力</w:t>
      </w:r>
    </w:p>
    <w:p>
      <w:pPr>
        <w:pStyle w:val="BodyText"/>
        <w:spacing w:line="278" w:lineRule="auto" w:before="43"/>
        <w:ind w:right="1445"/>
      </w:pPr>
      <w:r>
        <w:rPr>
          <w:spacing w:val="-6"/>
        </w:rPr>
        <w:t>是一种神经与肌肉接头部位传递障碍的自身免疫性疾病，临床特征是局部或全身横纹肌于活</w:t>
      </w:r>
      <w:r>
        <w:rPr>
          <w:spacing w:val="-15"/>
        </w:rPr>
        <w:t>动时易于疲劳无力，颅神经眼外肌最易累及，也可涉及呼吸肌、下肢近端肌群以至全身肌肉。</w:t>
      </w:r>
      <w:r>
        <w:rPr>
          <w:spacing w:val="-2"/>
        </w:rPr>
        <w:t>该病必须由本公司认可医院的专科医生明确诊断，且疾病确诊 </w:t>
      </w:r>
      <w:r>
        <w:rPr/>
        <w:t>180</w:t>
      </w:r>
      <w:r>
        <w:rPr>
          <w:spacing w:val="-8"/>
        </w:rPr>
        <w:t> 天后，仍然存在自主生活</w:t>
      </w:r>
      <w:r>
        <w:rPr>
          <w:spacing w:val="-2"/>
        </w:rPr>
        <w:t>能力部分丧失，经鉴定无法独立完成六项基本日常生活活动中的两项，但未达到本合同所指</w:t>
      </w:r>
      <w:r>
        <w:rPr>
          <w:spacing w:val="-2"/>
        </w:rPr>
        <w:t>重大疾病“严重全身性（型）重症肌无力”的给付标准。</w:t>
      </w:r>
    </w:p>
    <w:p>
      <w:pPr>
        <w:pStyle w:val="Heading5"/>
      </w:pPr>
      <w:r>
        <w:rPr>
          <w:spacing w:val="-3"/>
        </w:rPr>
        <w:t>六、中度溃疡性结肠炎</w:t>
      </w:r>
    </w:p>
    <w:p>
      <w:pPr>
        <w:pStyle w:val="BodyText"/>
        <w:spacing w:line="278" w:lineRule="auto" w:before="43"/>
        <w:ind w:right="1549"/>
      </w:pPr>
      <w:r>
        <w:rPr>
          <w:spacing w:val="-5"/>
        </w:rPr>
        <w:t>本合同所保障的溃疡性结肠炎是指伴有致命性电解质紊乱的急性暴发性溃疡性结肠炎，病变</w:t>
      </w:r>
      <w:r>
        <w:rPr>
          <w:spacing w:val="-5"/>
        </w:rPr>
        <w:t>累及全结肠，表现为严重的血便和系统性症状体征，本疾病的确诊必须经由内窥镜检查证实</w:t>
      </w:r>
    </w:p>
    <w:p>
      <w:pPr>
        <w:spacing w:after="0" w:line="278" w:lineRule="auto"/>
        <w:sectPr>
          <w:type w:val="continuous"/>
          <w:pgSz w:w="11910" w:h="16840"/>
          <w:pgMar w:header="0" w:footer="1005" w:top="240" w:bottom="1200" w:left="1560" w:right="240"/>
        </w:sectPr>
      </w:pPr>
    </w:p>
    <w:p>
      <w:pPr>
        <w:pStyle w:val="BodyText"/>
        <w:spacing w:line="278" w:lineRule="auto" w:before="44"/>
        <w:ind w:right="1549"/>
        <w:jc w:val="both"/>
      </w:pPr>
      <w:r>
        <w:rPr>
          <w:spacing w:val="-6"/>
        </w:rPr>
        <w:t>该疾病侵犯全部结肠及直肠及活体切片检查证实为溃疡性结肠炎。且须经肠胃专科医生连续</w:t>
      </w:r>
      <w:r>
        <w:rPr>
          <w:spacing w:val="-3"/>
        </w:rPr>
        <w:t>以系统性免疫抑制剂或免疫调节剂持续治疗最少 </w:t>
      </w:r>
      <w:r>
        <w:rPr>
          <w:spacing w:val="-2"/>
        </w:rPr>
        <w:t>90</w:t>
      </w:r>
      <w:r>
        <w:rPr>
          <w:spacing w:val="-7"/>
        </w:rPr>
        <w:t> 天，但未达到本合同重大疾病“严重溃</w:t>
      </w:r>
      <w:r>
        <w:rPr>
          <w:spacing w:val="-2"/>
        </w:rPr>
        <w:t>疡性结肠炎”的给付标准，才符合保障范围。</w:t>
      </w:r>
    </w:p>
    <w:p>
      <w:pPr>
        <w:pStyle w:val="Heading5"/>
        <w:spacing w:line="278" w:lineRule="auto"/>
        <w:ind w:right="3013"/>
      </w:pPr>
      <w:r>
        <w:rPr>
          <w:spacing w:val="-2"/>
        </w:rPr>
        <w:t>其他种类的炎性结肠炎,只发生在直肠的溃疡性结肠炎均不在保障范围内。</w:t>
      </w:r>
      <w:r>
        <w:rPr>
          <w:spacing w:val="-2"/>
        </w:rPr>
        <w:t>七、中度进行性核上性麻痹</w:t>
      </w:r>
    </w:p>
    <w:p>
      <w:pPr>
        <w:pStyle w:val="BodyText"/>
        <w:spacing w:line="278" w:lineRule="auto"/>
        <w:ind w:right="1445"/>
      </w:pPr>
      <w:r>
        <w:rPr>
          <w:spacing w:val="-12"/>
        </w:rPr>
        <w:t>指一种少见的神经系统变性疾病，以假性球麻痹、垂直性核上性眼肌麻痹、锥体外系肌僵直、</w:t>
      </w:r>
      <w:r>
        <w:rPr>
          <w:spacing w:val="-2"/>
        </w:rPr>
        <w:t>步态共济失调或轻度痴呆为主要临床特征。</w:t>
      </w:r>
    </w:p>
    <w:p>
      <w:pPr>
        <w:pStyle w:val="BodyText"/>
        <w:spacing w:line="278" w:lineRule="auto"/>
        <w:ind w:right="1462"/>
        <w:rPr>
          <w:b/>
        </w:rPr>
      </w:pPr>
      <w:r>
        <w:rPr>
          <w:spacing w:val="-2"/>
        </w:rPr>
        <w:t>须由本公司认可的医院的专科医生确诊，且满足自主生活能力部分丧失，无法独立完成六项</w:t>
      </w:r>
      <w:r>
        <w:rPr>
          <w:spacing w:val="-2"/>
        </w:rPr>
        <w:t>基本日常生活活动中的两项。但未达到本合同重大疾病“进行性核上性麻痹”的给付标准。</w:t>
      </w:r>
      <w:r>
        <w:rPr>
          <w:b/>
          <w:spacing w:val="-2"/>
        </w:rPr>
        <w:t>八、中度克雅氏病</w:t>
      </w:r>
    </w:p>
    <w:p>
      <w:pPr>
        <w:pStyle w:val="BodyText"/>
        <w:spacing w:line="278" w:lineRule="auto"/>
        <w:ind w:right="1549"/>
        <w:jc w:val="both"/>
      </w:pPr>
      <w:r>
        <w:rPr>
          <w:spacing w:val="-4"/>
        </w:rPr>
        <w:t>是一种传染性海绵状脑病，临床表现为快速进行性痴呆、肌阵挛和特征性脑电图变化。须由</w:t>
      </w:r>
      <w:r>
        <w:rPr>
          <w:spacing w:val="-6"/>
        </w:rPr>
        <w:t>本公司认可的医院的专科医生根据 </w:t>
      </w:r>
      <w:r>
        <w:rPr>
          <w:spacing w:val="-4"/>
        </w:rPr>
        <w:t>WHO</w:t>
      </w:r>
      <w:r>
        <w:rPr>
          <w:spacing w:val="-8"/>
        </w:rPr>
        <w:t> 诊断标准明确诊断，并且自主生活能力部分丧失，无</w:t>
      </w:r>
      <w:r>
        <w:rPr>
          <w:spacing w:val="-4"/>
        </w:rPr>
        <w:t>法独立完成六项基本日常生活活动中的两项。但未达到本合同重大疾病“严重克雅氏病”的</w:t>
      </w:r>
      <w:r>
        <w:rPr>
          <w:spacing w:val="-2"/>
        </w:rPr>
        <w:t>给付标准。</w:t>
      </w:r>
    </w:p>
    <w:p>
      <w:pPr>
        <w:pStyle w:val="Heading5"/>
      </w:pPr>
      <w:r>
        <w:rPr>
          <w:spacing w:val="-2"/>
        </w:rPr>
        <w:t>九、中度克罗恩病</w:t>
      </w:r>
    </w:p>
    <w:p>
      <w:pPr>
        <w:pStyle w:val="BodyText"/>
        <w:spacing w:line="278" w:lineRule="auto" w:before="42"/>
        <w:ind w:right="1548"/>
        <w:jc w:val="both"/>
      </w:pPr>
      <w:r>
        <w:rPr>
          <w:spacing w:val="-4"/>
        </w:rPr>
        <w:t>指一种慢性肉芽肿性肠炎，具有特征性的克罗恩病病理组织学变化。诊断必须由专科医生经</w:t>
      </w:r>
      <w:r>
        <w:rPr>
          <w:spacing w:val="-11"/>
        </w:rPr>
        <w:t>过病理检查结果证实，被保险人所患的克罗恩病须经肠胃科专科医生以类固醇或免疫抑制剂</w:t>
      </w:r>
      <w:r>
        <w:rPr>
          <w:spacing w:val="-5"/>
        </w:rPr>
        <w:t>连续治疗 </w:t>
      </w:r>
      <w:r>
        <w:rPr/>
        <w:t>180</w:t>
      </w:r>
      <w:r>
        <w:rPr>
          <w:spacing w:val="-5"/>
        </w:rPr>
        <w:t> 天以上，但未达到本合同重大疾病“严重克罗恩病”的给付标准。</w:t>
      </w:r>
    </w:p>
    <w:p>
      <w:pPr>
        <w:pStyle w:val="Heading5"/>
        <w:spacing w:line="269" w:lineRule="exact"/>
      </w:pPr>
      <w:r>
        <w:rPr>
          <w:spacing w:val="-3"/>
        </w:rPr>
        <w:t>十、中度原发性帕金森氏病</w:t>
      </w:r>
    </w:p>
    <w:p>
      <w:pPr>
        <w:pStyle w:val="BodyText"/>
        <w:spacing w:line="278" w:lineRule="auto" w:before="43"/>
        <w:ind w:right="1551"/>
      </w:pPr>
      <w:r>
        <w:rPr>
          <w:spacing w:val="-4"/>
        </w:rPr>
        <w:t>是一种中枢神经系统的退行性疾病，临床表现为运动迟缓、静止性震颤或肌强直等。须同时</w:t>
      </w:r>
      <w:r>
        <w:rPr>
          <w:spacing w:val="-2"/>
        </w:rPr>
        <w:t>符合下列所有条件，但未达到本合同所指重大疾病“严重原发性帕金森病”的给付标准：</w:t>
      </w:r>
    </w:p>
    <w:p>
      <w:pPr>
        <w:pStyle w:val="ListParagraph"/>
        <w:numPr>
          <w:ilvl w:val="0"/>
          <w:numId w:val="71"/>
        </w:numPr>
        <w:tabs>
          <w:tab w:pos="767" w:val="left" w:leader="none"/>
        </w:tabs>
        <w:spacing w:line="269" w:lineRule="exact" w:before="0" w:after="0"/>
        <w:ind w:left="767" w:right="0" w:hanging="529"/>
        <w:jc w:val="left"/>
        <w:rPr>
          <w:sz w:val="21"/>
        </w:rPr>
      </w:pPr>
      <w:r>
        <w:rPr>
          <w:spacing w:val="-3"/>
          <w:sz w:val="21"/>
        </w:rPr>
        <w:t>无法通过药物控制；</w:t>
      </w:r>
    </w:p>
    <w:p>
      <w:pPr>
        <w:pStyle w:val="ListParagraph"/>
        <w:numPr>
          <w:ilvl w:val="0"/>
          <w:numId w:val="71"/>
        </w:numPr>
        <w:tabs>
          <w:tab w:pos="767" w:val="left" w:leader="none"/>
        </w:tabs>
        <w:spacing w:line="240" w:lineRule="auto" w:before="43" w:after="0"/>
        <w:ind w:left="767" w:right="0" w:hanging="529"/>
        <w:jc w:val="left"/>
        <w:rPr>
          <w:sz w:val="21"/>
        </w:rPr>
      </w:pPr>
      <w:r>
        <w:rPr>
          <w:spacing w:val="-3"/>
          <w:sz w:val="21"/>
        </w:rPr>
        <w:t>出现逐步退化客观征状；</w:t>
      </w:r>
    </w:p>
    <w:p>
      <w:pPr>
        <w:pStyle w:val="ListParagraph"/>
        <w:numPr>
          <w:ilvl w:val="0"/>
          <w:numId w:val="71"/>
        </w:numPr>
        <w:tabs>
          <w:tab w:pos="767" w:val="left" w:leader="none"/>
        </w:tabs>
        <w:spacing w:line="278" w:lineRule="auto" w:before="43" w:after="0"/>
        <w:ind w:left="238" w:right="1549" w:firstLine="0"/>
        <w:jc w:val="left"/>
        <w:rPr>
          <w:sz w:val="21"/>
        </w:rPr>
      </w:pPr>
      <w:r>
        <w:rPr>
          <w:spacing w:val="-3"/>
          <w:sz w:val="21"/>
        </w:rPr>
        <w:t>自主生活能力部分丧失，经鉴定至少持续 </w:t>
      </w:r>
      <w:r>
        <w:rPr>
          <w:sz w:val="21"/>
        </w:rPr>
        <w:t>180</w:t>
      </w:r>
      <w:r>
        <w:rPr>
          <w:spacing w:val="-7"/>
          <w:sz w:val="21"/>
        </w:rPr>
        <w:t> 天无法独立完成六项基本日常生活活动</w:t>
      </w:r>
      <w:r>
        <w:rPr>
          <w:spacing w:val="-2"/>
          <w:sz w:val="21"/>
        </w:rPr>
        <w:t>中的二项。</w:t>
      </w:r>
    </w:p>
    <w:p>
      <w:pPr>
        <w:pStyle w:val="Heading5"/>
        <w:spacing w:line="278" w:lineRule="auto"/>
        <w:ind w:right="4384"/>
      </w:pPr>
      <w:r>
        <w:rPr>
          <w:spacing w:val="-2"/>
        </w:rPr>
        <w:t>继发性帕金森综合征、帕金森叠加综合征不在保障范围内。</w:t>
      </w:r>
      <w:r>
        <w:rPr>
          <w:spacing w:val="-2"/>
        </w:rPr>
        <w:t>十一、中度Ⅲ度烧伤</w:t>
      </w:r>
    </w:p>
    <w:p>
      <w:pPr>
        <w:spacing w:line="278" w:lineRule="auto" w:before="0"/>
        <w:ind w:left="238" w:right="1549" w:firstLine="0"/>
        <w:jc w:val="both"/>
        <w:rPr>
          <w:b/>
          <w:sz w:val="21"/>
        </w:rPr>
      </w:pPr>
      <w:r>
        <w:rPr>
          <w:spacing w:val="-4"/>
          <w:sz w:val="21"/>
        </w:rPr>
        <w:t>指烧伤程度为Ⅲ度，即全层皮肤烧伤，包括表皮、真皮和皮下组织，且Ⅲ度烧伤的面积达到</w:t>
      </w:r>
      <w:r>
        <w:rPr>
          <w:spacing w:val="-4"/>
          <w:sz w:val="21"/>
        </w:rPr>
        <w:t>全身体表面积的 </w:t>
      </w:r>
      <w:r>
        <w:rPr>
          <w:spacing w:val="-2"/>
          <w:sz w:val="21"/>
        </w:rPr>
        <w:t>15</w:t>
      </w:r>
      <w:r>
        <w:rPr>
          <w:spacing w:val="-7"/>
          <w:sz w:val="21"/>
        </w:rPr>
        <w:t>%或 </w:t>
      </w:r>
      <w:r>
        <w:rPr>
          <w:spacing w:val="-2"/>
          <w:sz w:val="21"/>
        </w:rPr>
        <w:t>15%以上。但未达到本合同重大疾病“严重Ⅲ度烧伤”的给付标准。</w:t>
      </w:r>
      <w:r>
        <w:rPr>
          <w:b/>
          <w:spacing w:val="-2"/>
          <w:sz w:val="21"/>
        </w:rPr>
        <w:t>本公司对“中度Ⅲ度烧伤”和“意外导致的中度面部烧伤”两项中的其中一项承担保险责</w:t>
      </w:r>
      <w:r>
        <w:rPr>
          <w:b/>
          <w:spacing w:val="-2"/>
          <w:sz w:val="21"/>
        </w:rPr>
        <w:t>任，给付其中一项保险金后，对另一项中症疾病保险责任同时终止。</w:t>
      </w:r>
    </w:p>
    <w:p>
      <w:pPr>
        <w:pStyle w:val="Heading5"/>
        <w:spacing w:line="269" w:lineRule="exact"/>
      </w:pPr>
      <w:r>
        <w:rPr>
          <w:spacing w:val="-3"/>
        </w:rPr>
        <w:t>十二、意外导致的中度面部烧伤</w:t>
      </w:r>
    </w:p>
    <w:p>
      <w:pPr>
        <w:pStyle w:val="BodyText"/>
        <w:spacing w:line="278" w:lineRule="auto" w:before="43"/>
        <w:ind w:right="1553"/>
        <w:jc w:val="both"/>
      </w:pPr>
      <w:r>
        <w:rPr>
          <w:spacing w:val="-1"/>
        </w:rPr>
        <w:t>指面部Ⅲ度烧伤且烧伤面积达到面部表面积的 </w:t>
      </w:r>
      <w:r>
        <w:rPr/>
        <w:t>60%或全身体表面积的（1）8%，但未达到本</w:t>
      </w:r>
      <w:r>
        <w:rPr>
          <w:spacing w:val="-4"/>
        </w:rPr>
        <w:t>合同重大疾病“严重面部烧伤”的给付标准。体表面积根据《中国新九分法》计算，面部总</w:t>
      </w:r>
      <w:r>
        <w:rPr>
          <w:spacing w:val="-4"/>
        </w:rPr>
        <w:t>面积为全身体表面积的 </w:t>
      </w:r>
      <w:r>
        <w:rPr/>
        <w:t>3%。面部面积不包括发部和颈部。</w:t>
      </w:r>
    </w:p>
    <w:p>
      <w:pPr>
        <w:pStyle w:val="Heading5"/>
        <w:spacing w:line="278" w:lineRule="auto"/>
        <w:ind w:right="1549"/>
      </w:pPr>
      <w:r>
        <w:rPr>
          <w:spacing w:val="-2"/>
        </w:rPr>
        <w:t>本公司对“中度Ⅲ度烧伤”和“意外导致的中度面部烧伤”两项中的其中一项承担保险责</w:t>
      </w:r>
      <w:r>
        <w:rPr>
          <w:spacing w:val="-2"/>
        </w:rPr>
        <w:t>任，给付其中一项保险金后，对另一项中症疾病保险责任同时终止。</w:t>
      </w:r>
    </w:p>
    <w:p>
      <w:pPr>
        <w:spacing w:before="0"/>
        <w:ind w:left="238" w:right="0" w:firstLine="0"/>
        <w:jc w:val="left"/>
        <w:rPr>
          <w:b/>
          <w:sz w:val="21"/>
        </w:rPr>
      </w:pPr>
      <w:r>
        <w:rPr>
          <w:b/>
          <w:spacing w:val="-3"/>
          <w:sz w:val="21"/>
        </w:rPr>
        <w:t>十三、中度强直性脊柱炎</w:t>
      </w:r>
    </w:p>
    <w:p>
      <w:pPr>
        <w:pStyle w:val="BodyText"/>
        <w:spacing w:line="278" w:lineRule="auto" w:before="43"/>
        <w:ind w:right="1551"/>
      </w:pPr>
      <w:r>
        <w:rPr>
          <w:spacing w:val="-4"/>
        </w:rPr>
        <w:t>指一种慢性全身性炎性疾病，主要侵犯脊柱导致脊柱畸形。须同时符合下列所有条件，但未</w:t>
      </w:r>
      <w:r>
        <w:rPr>
          <w:spacing w:val="-2"/>
        </w:rPr>
        <w:t>达到本合同重大疾病“严重强直性脊柱炎”的给付标准：</w:t>
      </w:r>
    </w:p>
    <w:p>
      <w:pPr>
        <w:pStyle w:val="ListParagraph"/>
        <w:numPr>
          <w:ilvl w:val="0"/>
          <w:numId w:val="72"/>
        </w:numPr>
        <w:tabs>
          <w:tab w:pos="767" w:val="left" w:leader="none"/>
        </w:tabs>
        <w:spacing w:line="269" w:lineRule="exact" w:before="0" w:after="0"/>
        <w:ind w:left="767" w:right="0" w:hanging="529"/>
        <w:jc w:val="left"/>
        <w:rPr>
          <w:sz w:val="21"/>
        </w:rPr>
      </w:pPr>
      <w:r>
        <w:rPr>
          <w:spacing w:val="-4"/>
          <w:sz w:val="21"/>
        </w:rPr>
        <w:t>严重脊柱畸形；</w:t>
      </w:r>
    </w:p>
    <w:p>
      <w:pPr>
        <w:pStyle w:val="ListParagraph"/>
        <w:numPr>
          <w:ilvl w:val="0"/>
          <w:numId w:val="72"/>
        </w:numPr>
        <w:tabs>
          <w:tab w:pos="767" w:val="left" w:leader="none"/>
        </w:tabs>
        <w:spacing w:line="278" w:lineRule="auto" w:before="43" w:after="0"/>
        <w:ind w:left="238" w:right="1566" w:firstLine="0"/>
        <w:jc w:val="left"/>
        <w:rPr>
          <w:b/>
          <w:sz w:val="21"/>
        </w:rPr>
      </w:pPr>
      <w:r>
        <w:rPr>
          <w:spacing w:val="-2"/>
          <w:sz w:val="21"/>
        </w:rPr>
        <w:t>自主生活能力部分丧失，无法独立完成六项基本日常生活活动中的二项或二项以上。</w:t>
      </w:r>
      <w:r>
        <w:rPr>
          <w:b/>
          <w:spacing w:val="-2"/>
          <w:sz w:val="21"/>
        </w:rPr>
        <w:t>十四、糖尿病导致单足截除</w:t>
      </w:r>
    </w:p>
    <w:p>
      <w:pPr>
        <w:spacing w:after="0" w:line="278" w:lineRule="auto"/>
        <w:jc w:val="left"/>
        <w:rPr>
          <w:sz w:val="21"/>
        </w:rPr>
        <w:sectPr>
          <w:pgSz w:w="11910" w:h="16840"/>
          <w:pgMar w:header="0" w:footer="1005" w:top="1400" w:bottom="1200" w:left="1560" w:right="240"/>
        </w:sectPr>
      </w:pPr>
    </w:p>
    <w:p>
      <w:pPr>
        <w:pStyle w:val="BodyText"/>
        <w:spacing w:line="278" w:lineRule="auto" w:before="44"/>
        <w:ind w:right="1548"/>
      </w:pPr>
      <w:r>
        <w:rPr>
          <w:spacing w:val="-7"/>
        </w:rPr>
        <w:t>因糖尿病引起的神经及血管病变累及足部，为了维持生命在本公司认可医院内已经进行了医</w:t>
      </w:r>
      <w:r>
        <w:rPr>
          <w:spacing w:val="-2"/>
        </w:rPr>
        <w:t>疗必须的由足踝或以上位置的单足截除手术。</w:t>
      </w:r>
    </w:p>
    <w:p>
      <w:pPr>
        <w:pStyle w:val="Heading5"/>
        <w:spacing w:line="278" w:lineRule="auto"/>
        <w:ind w:right="3962"/>
      </w:pPr>
      <w:r>
        <w:rPr>
          <w:spacing w:val="-2"/>
        </w:rPr>
        <w:t>切除多只脚趾或因任何其他原因引起的截除术不在保障范围内。</w:t>
      </w:r>
      <w:r>
        <w:rPr>
          <w:spacing w:val="-2"/>
        </w:rPr>
        <w:t>十五、中度多发性硬化症</w:t>
      </w:r>
    </w:p>
    <w:p>
      <w:pPr>
        <w:pStyle w:val="BodyText"/>
        <w:spacing w:line="278" w:lineRule="auto"/>
        <w:ind w:right="1548"/>
      </w:pPr>
      <w:r>
        <w:rPr/>
        <w:t>指被保险人因脑及脊髓内的脱髓鞘病变而出现神经系统多灶性（多发性）多时相（</w:t>
      </w:r>
      <w:r>
        <w:rPr>
          <w:spacing w:val="-14"/>
        </w:rPr>
        <w:t>至少 </w:t>
      </w:r>
      <w:r>
        <w:rPr/>
        <w:t>6</w:t>
      </w:r>
      <w:r>
        <w:rPr>
          <w:spacing w:val="-4"/>
        </w:rPr>
        <w:t>个月以内有一次以上（不包含一次）的发作）的病变，须由计算机断层扫描（CT）、核磁共</w:t>
      </w:r>
      <w:r>
        <w:rPr>
          <w:spacing w:val="-2"/>
        </w:rPr>
        <w:t>振检查（MRI）或正电子发射断层扫描（PET）等影像学检查证实，且已经造成自主生活能力</w:t>
      </w:r>
      <w:r>
        <w:rPr>
          <w:spacing w:val="-1"/>
        </w:rPr>
        <w:t>部分丧失，无法独立完成六项基本日常生活活动中的两项，持续至少 </w:t>
      </w:r>
      <w:r>
        <w:rPr/>
        <w:t>180</w:t>
      </w:r>
      <w:r>
        <w:rPr>
          <w:spacing w:val="-5"/>
        </w:rPr>
        <w:t> 天。但未达到本</w:t>
      </w:r>
      <w:r>
        <w:rPr>
          <w:spacing w:val="-2"/>
        </w:rPr>
        <w:t>合同重大疾病“严重多发性硬化”的给付标准。</w:t>
      </w:r>
    </w:p>
    <w:p>
      <w:pPr>
        <w:pStyle w:val="Heading5"/>
        <w:spacing w:line="268" w:lineRule="exact"/>
      </w:pPr>
      <w:r>
        <w:rPr>
          <w:w w:val="95"/>
        </w:rPr>
        <w:t>十</w:t>
      </w:r>
      <w:r>
        <w:rPr>
          <w:w w:val="95"/>
        </w:rPr>
        <w:t>六</w:t>
      </w:r>
      <w:r>
        <w:rPr>
          <w:w w:val="95"/>
        </w:rPr>
        <w:t>、</w:t>
      </w:r>
      <w:r>
        <w:rPr>
          <w:w w:val="95"/>
        </w:rPr>
        <w:t>深</w:t>
      </w:r>
      <w:r>
        <w:rPr>
          <w:w w:val="95"/>
        </w:rPr>
        <w:t>度</w:t>
      </w:r>
      <w:r>
        <w:rPr>
          <w:w w:val="95"/>
        </w:rPr>
        <w:t>昏</w:t>
      </w:r>
      <w:r>
        <w:rPr>
          <w:w w:val="95"/>
        </w:rPr>
        <w:t>迷</w:t>
      </w:r>
      <w:r>
        <w:rPr>
          <w:spacing w:val="-3"/>
          <w:w w:val="95"/>
        </w:rPr>
        <w:t> </w:t>
      </w:r>
      <w:r>
        <w:rPr>
          <w:w w:val="95"/>
        </w:rPr>
        <w:t>72</w:t>
      </w:r>
      <w:r>
        <w:rPr>
          <w:spacing w:val="-2"/>
          <w:w w:val="95"/>
        </w:rPr>
        <w:t> </w:t>
      </w:r>
      <w:r>
        <w:rPr>
          <w:w w:val="95"/>
        </w:rPr>
        <w:t>小</w:t>
      </w:r>
      <w:r>
        <w:rPr>
          <w:spacing w:val="-10"/>
          <w:w w:val="95"/>
        </w:rPr>
        <w:t>时</w:t>
      </w:r>
    </w:p>
    <w:p>
      <w:pPr>
        <w:pStyle w:val="BodyText"/>
        <w:spacing w:line="278" w:lineRule="auto" w:before="43"/>
        <w:ind w:right="1548"/>
      </w:pPr>
      <w:r>
        <w:rPr>
          <w:spacing w:val="-3"/>
          <w:w w:val="100"/>
        </w:rPr>
        <w:t>指因疾病或意外伤害导致意识丧失，对外界刺激和体内需求均无反应，昏迷程度按照格拉斯哥昏迷分级（</w:t>
      </w:r>
      <w:r>
        <w:rPr>
          <w:w w:val="100"/>
        </w:rPr>
        <w:t>Gla</w:t>
      </w:r>
      <w:r>
        <w:rPr>
          <w:spacing w:val="-3"/>
          <w:w w:val="100"/>
        </w:rPr>
        <w:t>s</w:t>
      </w:r>
      <w:r>
        <w:rPr>
          <w:w w:val="100"/>
        </w:rPr>
        <w:t>gow</w:t>
      </w:r>
      <w:r>
        <w:rPr>
          <w:spacing w:val="-46"/>
        </w:rPr>
        <w:t> </w:t>
      </w:r>
      <w:r>
        <w:rPr>
          <w:spacing w:val="-3"/>
          <w:w w:val="100"/>
        </w:rPr>
        <w:t>c</w:t>
      </w:r>
      <w:r>
        <w:rPr>
          <w:w w:val="100"/>
        </w:rPr>
        <w:t>oma</w:t>
      </w:r>
      <w:r>
        <w:rPr>
          <w:spacing w:val="-46"/>
        </w:rPr>
        <w:t> </w:t>
      </w:r>
      <w:r>
        <w:rPr>
          <w:w w:val="100"/>
        </w:rPr>
        <w:t>sca</w:t>
      </w:r>
      <w:r>
        <w:rPr>
          <w:spacing w:val="-3"/>
          <w:w w:val="100"/>
        </w:rPr>
        <w:t>l</w:t>
      </w:r>
      <w:r>
        <w:rPr>
          <w:w w:val="100"/>
        </w:rPr>
        <w:t>e</w:t>
      </w:r>
      <w:r>
        <w:rPr>
          <w:spacing w:val="-3"/>
          <w:w w:val="100"/>
        </w:rPr>
        <w:t>）</w:t>
      </w:r>
      <w:r>
        <w:rPr>
          <w:spacing w:val="-2"/>
          <w:w w:val="100"/>
        </w:rPr>
        <w:t>结果为</w:t>
      </w:r>
      <w:r>
        <w:rPr>
          <w:spacing w:val="-53"/>
        </w:rPr>
        <w:t> </w:t>
      </w:r>
      <w:r>
        <w:rPr>
          <w:w w:val="100"/>
        </w:rPr>
        <w:t>5</w:t>
      </w:r>
      <w:r>
        <w:rPr>
          <w:spacing w:val="-55"/>
        </w:rPr>
        <w:t> </w:t>
      </w:r>
      <w:r>
        <w:rPr>
          <w:w w:val="100"/>
        </w:rPr>
        <w:t>分或</w:t>
      </w:r>
      <w:r>
        <w:rPr>
          <w:spacing w:val="-55"/>
        </w:rPr>
        <w:t> </w:t>
      </w:r>
      <w:r>
        <w:rPr>
          <w:w w:val="100"/>
        </w:rPr>
        <w:t>5</w:t>
      </w:r>
      <w:r>
        <w:rPr>
          <w:spacing w:val="-52"/>
        </w:rPr>
        <w:t> </w:t>
      </w:r>
      <w:r>
        <w:rPr>
          <w:spacing w:val="-3"/>
          <w:w w:val="100"/>
        </w:rPr>
        <w:t>分以下，且已经持续使用呼吸机及其他生命维持系统达到</w:t>
      </w:r>
      <w:r>
        <w:rPr>
          <w:spacing w:val="-3"/>
        </w:rPr>
        <w:t> </w:t>
      </w:r>
      <w:r>
        <w:rPr>
          <w:w w:val="100"/>
        </w:rPr>
        <w:t>72</w:t>
      </w:r>
      <w:r>
        <w:rPr>
          <w:spacing w:val="-54"/>
        </w:rPr>
        <w:t> </w:t>
      </w:r>
      <w:r>
        <w:rPr>
          <w:spacing w:val="-3"/>
          <w:w w:val="100"/>
        </w:rPr>
        <w:t>小时。但未达到本合同重大疾病“深度昏迷”的给付标准。</w:t>
      </w:r>
    </w:p>
    <w:p>
      <w:pPr>
        <w:pStyle w:val="Heading5"/>
        <w:spacing w:line="278" w:lineRule="auto"/>
        <w:ind w:right="5018"/>
      </w:pPr>
      <w:r>
        <w:rPr>
          <w:spacing w:val="-2"/>
        </w:rPr>
        <w:t>因酗酒或药物滥用导致的深度昏迷不在保障范围内。</w:t>
      </w:r>
      <w:r>
        <w:rPr>
          <w:spacing w:val="-2"/>
        </w:rPr>
        <w:t>十七、中度运动神经元病</w:t>
      </w:r>
    </w:p>
    <w:p>
      <w:pPr>
        <w:pStyle w:val="BodyText"/>
        <w:spacing w:line="278" w:lineRule="auto"/>
        <w:ind w:right="1443"/>
      </w:pPr>
      <w:r>
        <w:rPr>
          <w:spacing w:val="-2"/>
        </w:rPr>
        <w:t>指一组中枢神经系统运动神经元的进行性变性疾病，包括进行性脊肌萎缩症、进行性延髓麻</w:t>
      </w:r>
      <w:r>
        <w:rPr>
          <w:spacing w:val="-2"/>
        </w:rPr>
        <w:t>痹症、原发性侧索硬化症、肌萎缩性侧索硬化症。须满足自主生活能力部分丧失，经鉴定无</w:t>
      </w:r>
      <w:r>
        <w:rPr>
          <w:spacing w:val="-10"/>
        </w:rPr>
        <w:t>法独立完成六项基本日常生活活动中的两项。但未达到本合同重大疾病“严重运动神经元病”</w:t>
      </w:r>
      <w:r>
        <w:rPr>
          <w:spacing w:val="-2"/>
        </w:rPr>
        <w:t>的给付标准。</w:t>
      </w:r>
    </w:p>
    <w:p>
      <w:pPr>
        <w:pStyle w:val="Heading5"/>
        <w:spacing w:line="269" w:lineRule="exact"/>
      </w:pPr>
      <w:r>
        <w:rPr>
          <w:spacing w:val="-2"/>
        </w:rPr>
        <w:t>十八、中度瘫痪</w:t>
      </w:r>
    </w:p>
    <w:p>
      <w:pPr>
        <w:pStyle w:val="BodyText"/>
        <w:spacing w:line="278" w:lineRule="auto" w:before="43"/>
        <w:ind w:right="1549"/>
      </w:pPr>
      <w:r>
        <w:rPr>
          <w:spacing w:val="-5"/>
        </w:rPr>
        <w:t>指因疾病或者意外伤害导致一肢或一肢以上肢体随意运动功能永久完全丧失，但未达到本合</w:t>
      </w:r>
      <w:r>
        <w:rPr>
          <w:spacing w:val="-2"/>
        </w:rPr>
        <w:t>同重大疾病“瘫痪”的给付标准。</w:t>
      </w:r>
    </w:p>
    <w:p>
      <w:pPr>
        <w:pStyle w:val="Heading5"/>
        <w:spacing w:line="269" w:lineRule="exact"/>
      </w:pPr>
      <w:r>
        <w:rPr>
          <w:spacing w:val="-3"/>
        </w:rPr>
        <w:t>十九、中度脊髓灰质炎</w:t>
      </w:r>
    </w:p>
    <w:p>
      <w:pPr>
        <w:spacing w:line="278" w:lineRule="auto" w:before="43"/>
        <w:ind w:left="238" w:right="1460" w:firstLine="0"/>
        <w:jc w:val="left"/>
        <w:rPr>
          <w:b/>
          <w:sz w:val="21"/>
        </w:rPr>
      </w:pPr>
      <w:r>
        <w:rPr>
          <w:spacing w:val="-7"/>
          <w:w w:val="100"/>
          <w:sz w:val="21"/>
        </w:rPr>
        <w:t>脊髓灰质炎是由于脊髓灰质炎病毒感染所致的瘫痪性疾病，临床表现为运动功能损害或呼吸</w:t>
      </w:r>
      <w:r>
        <w:rPr>
          <w:spacing w:val="-5"/>
          <w:w w:val="100"/>
          <w:sz w:val="21"/>
        </w:rPr>
        <w:t>无力。脊髓灰质炎必须明确诊断但未达到本合同重大疾病“严重脊髓灰质炎”的给付标准。</w:t>
      </w:r>
      <w:r>
        <w:rPr>
          <w:b/>
          <w:spacing w:val="-5"/>
          <w:w w:val="100"/>
          <w:sz w:val="21"/>
        </w:rPr>
        <w:t>本合同仅对脊髓灰质炎造成的神经系统功能损害导致被保险人一肢或一肢以上肢体机能永久完全丧失的情况予以理赔。</w:t>
      </w:r>
    </w:p>
    <w:p>
      <w:pPr>
        <w:pStyle w:val="Heading5"/>
      </w:pPr>
      <w:r>
        <w:rPr>
          <w:spacing w:val="-2"/>
        </w:rPr>
        <w:t>二十、单个肢体缺失</w:t>
      </w:r>
    </w:p>
    <w:p>
      <w:pPr>
        <w:pStyle w:val="BodyText"/>
        <w:spacing w:line="278" w:lineRule="auto" w:before="43"/>
        <w:ind w:right="1549"/>
      </w:pPr>
      <w:r>
        <w:rPr>
          <w:spacing w:val="-4"/>
        </w:rPr>
        <w:t>指一个肢体自腕关节或踝关节近端（靠近躯干端）以上完全性断离，但未达到本合同重大疾</w:t>
      </w:r>
      <w:r>
        <w:rPr>
          <w:spacing w:val="-2"/>
        </w:rPr>
        <w:t>病“失去一肢及一眼”的给付标准。</w:t>
      </w:r>
    </w:p>
    <w:p>
      <w:pPr>
        <w:pStyle w:val="Heading5"/>
        <w:spacing w:line="278" w:lineRule="auto"/>
        <w:ind w:right="1549"/>
      </w:pPr>
      <w:r>
        <w:rPr>
          <w:spacing w:val="-2"/>
        </w:rPr>
        <w:t>因“糖尿病导致单足截除”或者因“恶性肿瘤导致肢体切除”导致的单个肢体缺失不在本</w:t>
      </w:r>
      <w:r>
        <w:rPr>
          <w:spacing w:val="-2"/>
        </w:rPr>
        <w:t>项保障范围内。</w:t>
      </w:r>
    </w:p>
    <w:p>
      <w:pPr>
        <w:spacing w:line="269" w:lineRule="exact" w:before="0"/>
        <w:ind w:left="238" w:right="0" w:firstLine="0"/>
        <w:jc w:val="left"/>
        <w:rPr>
          <w:b/>
          <w:sz w:val="21"/>
        </w:rPr>
      </w:pPr>
      <w:r>
        <w:rPr>
          <w:b/>
          <w:spacing w:val="-3"/>
          <w:sz w:val="21"/>
        </w:rPr>
        <w:t>二十一、中度肠道疾病并发症</w:t>
      </w:r>
    </w:p>
    <w:p>
      <w:pPr>
        <w:pStyle w:val="BodyText"/>
        <w:spacing w:before="43"/>
      </w:pPr>
      <w:r>
        <w:rPr>
          <w:spacing w:val="-3"/>
        </w:rPr>
        <w:t>严重肠道疾病或外伤导致小肠损害并发症，本疾病须满足以下所有条件：</w:t>
      </w:r>
    </w:p>
    <w:p>
      <w:pPr>
        <w:pStyle w:val="ListParagraph"/>
        <w:numPr>
          <w:ilvl w:val="0"/>
          <w:numId w:val="73"/>
        </w:numPr>
        <w:tabs>
          <w:tab w:pos="767" w:val="left" w:leader="none"/>
        </w:tabs>
        <w:spacing w:line="240" w:lineRule="auto" w:before="42" w:after="0"/>
        <w:ind w:left="767" w:right="0" w:hanging="529"/>
        <w:jc w:val="left"/>
        <w:rPr>
          <w:sz w:val="21"/>
        </w:rPr>
      </w:pPr>
      <w:r>
        <w:rPr>
          <w:spacing w:val="-3"/>
          <w:sz w:val="21"/>
        </w:rPr>
        <w:t>至少切除了二分之一小肠；</w:t>
      </w:r>
    </w:p>
    <w:p>
      <w:pPr>
        <w:pStyle w:val="ListParagraph"/>
        <w:numPr>
          <w:ilvl w:val="0"/>
          <w:numId w:val="73"/>
        </w:numPr>
        <w:tabs>
          <w:tab w:pos="767" w:val="left" w:leader="none"/>
        </w:tabs>
        <w:spacing w:line="240" w:lineRule="auto" w:before="43" w:after="0"/>
        <w:ind w:left="767" w:right="0" w:hanging="529"/>
        <w:jc w:val="left"/>
        <w:rPr>
          <w:sz w:val="21"/>
        </w:rPr>
      </w:pPr>
      <w:r>
        <w:rPr>
          <w:spacing w:val="-3"/>
          <w:sz w:val="21"/>
        </w:rPr>
        <w:t>完全肠外营养支持二个月以上。</w:t>
      </w:r>
    </w:p>
    <w:p>
      <w:pPr>
        <w:pStyle w:val="Heading5"/>
        <w:spacing w:line="278" w:lineRule="auto" w:before="43"/>
        <w:ind w:right="1554"/>
      </w:pPr>
      <w:r>
        <w:rPr>
          <w:spacing w:val="-2"/>
        </w:rPr>
        <w:t>若被保险人已符合本合同所指的重大疾病“严重肠道疾病并发症”标准的，则不在保障范</w:t>
      </w:r>
      <w:r>
        <w:rPr>
          <w:spacing w:val="-4"/>
        </w:rPr>
        <w:t>围内。</w:t>
      </w:r>
    </w:p>
    <w:p>
      <w:pPr>
        <w:spacing w:line="278" w:lineRule="auto" w:before="1"/>
        <w:ind w:left="238" w:right="4384" w:firstLine="0"/>
        <w:jc w:val="left"/>
        <w:rPr>
          <w:b/>
          <w:sz w:val="21"/>
        </w:rPr>
      </w:pPr>
      <w:r>
        <w:rPr>
          <w:b/>
          <w:spacing w:val="-2"/>
          <w:sz w:val="21"/>
        </w:rPr>
        <w:t>因克罗恩病导致的中度肠道疾病并发症不在保障范围之内。</w:t>
      </w:r>
      <w:r>
        <w:rPr>
          <w:b/>
          <w:spacing w:val="-2"/>
          <w:sz w:val="21"/>
        </w:rPr>
        <w:t>二十二、中度脑损伤</w:t>
      </w:r>
    </w:p>
    <w:p>
      <w:pPr>
        <w:pStyle w:val="BodyText"/>
        <w:spacing w:line="278" w:lineRule="auto"/>
        <w:ind w:right="1445"/>
      </w:pPr>
      <w:r>
        <w:rPr>
          <w:spacing w:val="-2"/>
        </w:rPr>
        <w:t>指因头部遭受机械性外力，引起脑重要部位损伤，导致神经系统永久性的功能障碍。须由头</w:t>
      </w:r>
      <w:r>
        <w:rPr>
          <w:spacing w:val="-6"/>
        </w:rPr>
        <w:t>颅断层扫描</w:t>
      </w:r>
      <w:r>
        <w:rPr>
          <w:spacing w:val="20"/>
        </w:rPr>
        <w:t>（</w:t>
      </w:r>
      <w:r>
        <w:rPr>
          <w:spacing w:val="18"/>
        </w:rPr>
        <w:t>C</w:t>
      </w:r>
      <w:r>
        <w:rPr>
          <w:spacing w:val="21"/>
        </w:rPr>
        <w:t>T</w:t>
      </w:r>
      <w:r>
        <w:rPr>
          <w:spacing w:val="-85"/>
        </w:rPr>
        <w:t>）</w:t>
      </w:r>
      <w:r>
        <w:rPr>
          <w:spacing w:val="-6"/>
        </w:rPr>
        <w:t>、核磁共振检查（MRI）或正电子发射断层扫描（PET）等影像学检查证实。</w:t>
      </w:r>
      <w:r>
        <w:rPr>
          <w:spacing w:val="-4"/>
        </w:rPr>
        <w:t>神经系统永久性的功能障碍，指脑损伤 </w:t>
      </w:r>
      <w:r>
        <w:rPr/>
        <w:t>180</w:t>
      </w:r>
      <w:r>
        <w:rPr>
          <w:spacing w:val="-8"/>
        </w:rPr>
        <w:t> 天后，仍部分丧失自主生活能力，经鉴定无法独</w:t>
      </w:r>
    </w:p>
    <w:p>
      <w:pPr>
        <w:spacing w:after="0" w:line="278" w:lineRule="auto"/>
        <w:sectPr>
          <w:pgSz w:w="11910" w:h="16840"/>
          <w:pgMar w:header="0" w:footer="1005" w:top="1400" w:bottom="1200" w:left="1560" w:right="240"/>
        </w:sectPr>
      </w:pPr>
    </w:p>
    <w:p>
      <w:pPr>
        <w:pStyle w:val="BodyText"/>
        <w:spacing w:line="278" w:lineRule="auto" w:before="44"/>
        <w:ind w:right="1551"/>
      </w:pPr>
      <w:r>
        <w:rPr>
          <w:spacing w:val="-4"/>
        </w:rPr>
        <w:t>立完成六项基本日常生活活动中的两项或以上，但未达到重大疾病“严重脑损伤”的给付标</w:t>
      </w:r>
      <w:r>
        <w:rPr>
          <w:spacing w:val="-6"/>
        </w:rPr>
        <w:t>准。</w:t>
      </w:r>
    </w:p>
    <w:p>
      <w:pPr>
        <w:pStyle w:val="Heading5"/>
      </w:pPr>
      <w:r>
        <w:rPr>
          <w:spacing w:val="-3"/>
        </w:rPr>
        <w:t>二十三、单侧肺脏切除</w:t>
      </w:r>
    </w:p>
    <w:p>
      <w:pPr>
        <w:spacing w:line="278" w:lineRule="auto" w:before="43"/>
        <w:ind w:left="238" w:right="3140" w:firstLine="0"/>
        <w:jc w:val="left"/>
        <w:rPr>
          <w:b/>
          <w:sz w:val="21"/>
        </w:rPr>
      </w:pPr>
      <w:r>
        <w:rPr>
          <w:spacing w:val="-2"/>
          <w:sz w:val="21"/>
        </w:rPr>
        <w:t>指因疾病或意外伤害导致肺部严重损害，已经实施了单侧全肺切除手术。</w:t>
      </w:r>
      <w:r>
        <w:rPr>
          <w:b/>
          <w:spacing w:val="-2"/>
          <w:sz w:val="21"/>
        </w:rPr>
        <w:t>下列情况不在保障范围内：</w:t>
      </w:r>
    </w:p>
    <w:p>
      <w:pPr>
        <w:pStyle w:val="ListParagraph"/>
        <w:numPr>
          <w:ilvl w:val="0"/>
          <w:numId w:val="74"/>
        </w:numPr>
        <w:tabs>
          <w:tab w:pos="767" w:val="left" w:leader="none"/>
        </w:tabs>
        <w:spacing w:line="269" w:lineRule="exact" w:before="0" w:after="0"/>
        <w:ind w:left="767" w:right="0" w:hanging="529"/>
        <w:jc w:val="left"/>
        <w:rPr>
          <w:b/>
          <w:sz w:val="21"/>
        </w:rPr>
      </w:pPr>
      <w:r>
        <w:rPr>
          <w:b/>
          <w:spacing w:val="-3"/>
          <w:sz w:val="21"/>
        </w:rPr>
        <w:t>肺叶切除、肺段切除手术；</w:t>
      </w:r>
    </w:p>
    <w:p>
      <w:pPr>
        <w:pStyle w:val="ListParagraph"/>
        <w:numPr>
          <w:ilvl w:val="0"/>
          <w:numId w:val="74"/>
        </w:numPr>
        <w:tabs>
          <w:tab w:pos="767" w:val="left" w:leader="none"/>
        </w:tabs>
        <w:spacing w:line="240" w:lineRule="auto" w:before="43" w:after="0"/>
        <w:ind w:left="767" w:right="0" w:hanging="529"/>
        <w:jc w:val="left"/>
        <w:rPr>
          <w:b/>
          <w:sz w:val="21"/>
        </w:rPr>
      </w:pPr>
      <w:r>
        <w:rPr>
          <w:b/>
          <w:spacing w:val="-3"/>
          <w:sz w:val="21"/>
        </w:rPr>
        <w:t>因恶性肿瘤进行的肺切除手术；</w:t>
      </w:r>
    </w:p>
    <w:p>
      <w:pPr>
        <w:pStyle w:val="ListParagraph"/>
        <w:numPr>
          <w:ilvl w:val="0"/>
          <w:numId w:val="74"/>
        </w:numPr>
        <w:tabs>
          <w:tab w:pos="767" w:val="left" w:leader="none"/>
        </w:tabs>
        <w:spacing w:line="278" w:lineRule="auto" w:before="43" w:after="0"/>
        <w:ind w:left="238" w:right="5752" w:firstLine="0"/>
        <w:jc w:val="left"/>
        <w:rPr>
          <w:b/>
          <w:sz w:val="21"/>
        </w:rPr>
      </w:pPr>
      <w:r>
        <w:rPr>
          <w:b/>
          <w:spacing w:val="-2"/>
          <w:sz w:val="21"/>
        </w:rPr>
        <w:t>作为器官捐献者而实施的肺切除手术。</w:t>
      </w:r>
      <w:r>
        <w:rPr>
          <w:b/>
          <w:spacing w:val="-2"/>
          <w:sz w:val="21"/>
        </w:rPr>
        <w:t>二十四、中度结核性脊髓炎后遗症</w:t>
      </w:r>
    </w:p>
    <w:p>
      <w:pPr>
        <w:pStyle w:val="BodyText"/>
        <w:spacing w:line="278" w:lineRule="auto"/>
        <w:ind w:right="1443"/>
      </w:pPr>
      <w:r>
        <w:rPr>
          <w:spacing w:val="-14"/>
        </w:rPr>
        <w:t>指因结核杆菌引起的脊髓炎，导致永久性神经系统功能中度障碍，即疾病首次确诊 </w:t>
      </w:r>
      <w:r>
        <w:rPr/>
        <w:t>180</w:t>
      </w:r>
      <w:r>
        <w:rPr>
          <w:spacing w:val="-14"/>
        </w:rPr>
        <w:t> 天后，</w:t>
      </w:r>
      <w:r>
        <w:rPr>
          <w:spacing w:val="-2"/>
        </w:rPr>
        <w:t>仍遗留下列障碍：</w:t>
      </w:r>
    </w:p>
    <w:p>
      <w:pPr>
        <w:pStyle w:val="BodyText"/>
        <w:spacing w:line="269" w:lineRule="exact"/>
      </w:pPr>
      <w:r>
        <w:rPr>
          <w:spacing w:val="-3"/>
        </w:rPr>
        <w:t>自主生活能力部分丧失，无法独立完成六项基本日常生活活动中的二项或二项以上。</w:t>
      </w:r>
    </w:p>
    <w:p>
      <w:pPr>
        <w:pStyle w:val="BodyText"/>
        <w:spacing w:line="278" w:lineRule="auto" w:before="43"/>
        <w:ind w:right="1549"/>
      </w:pPr>
      <w:r>
        <w:rPr>
          <w:spacing w:val="-6"/>
        </w:rPr>
        <w:t>该诊断必须由我们认可的医疗机构内的神经科专科医生确诊，并必须由适当的检查证明为结</w:t>
      </w:r>
      <w:r>
        <w:rPr>
          <w:spacing w:val="-2"/>
        </w:rPr>
        <w:t>核性脊髓炎。</w:t>
      </w:r>
    </w:p>
    <w:p>
      <w:pPr>
        <w:pStyle w:val="Heading5"/>
      </w:pPr>
      <w:r>
        <w:rPr>
          <w:spacing w:val="-3"/>
        </w:rPr>
        <w:t>二十五、中度阿尔茨海默病</w:t>
      </w:r>
    </w:p>
    <w:p>
      <w:pPr>
        <w:pStyle w:val="BodyText"/>
        <w:spacing w:line="278" w:lineRule="auto" w:before="43"/>
        <w:ind w:right="1443"/>
      </w:pPr>
      <w:r>
        <w:rPr>
          <w:spacing w:val="-16"/>
        </w:rPr>
        <w:t>指因大脑进行性、不可逆性改变导致智能严重衰退或丧失，临床表现为明显的认知能力障碍、</w:t>
      </w:r>
      <w:r>
        <w:rPr>
          <w:spacing w:val="-12"/>
        </w:rPr>
        <w:t>精神行为异常和社交能力减退，其日常生活必须持续受到他人监护。须由头颅断层扫描</w:t>
      </w:r>
      <w:r>
        <w:rPr>
          <w:spacing w:val="-2"/>
        </w:rPr>
        <w:t>(CT)、</w:t>
      </w:r>
      <w:r>
        <w:rPr>
          <w:spacing w:val="-2"/>
        </w:rPr>
        <w:t>核磁共振检查（MRI）或正电子发射断层扫描（PET）等影像学检查证实，并且自主生活能力</w:t>
      </w:r>
      <w:r>
        <w:rPr>
          <w:spacing w:val="-2"/>
        </w:rPr>
        <w:t>部分丧失，经鉴定无法独立完成六项基本日常生活活动中的两项，但未达到本合同重大疾病</w:t>
      </w:r>
      <w:r>
        <w:rPr>
          <w:spacing w:val="-2"/>
        </w:rPr>
        <w:t> “严重阿尔茨海默病”的给付标准。</w:t>
      </w:r>
    </w:p>
    <w:p>
      <w:pPr>
        <w:spacing w:line="268" w:lineRule="exact" w:before="0"/>
        <w:ind w:left="238" w:right="0" w:firstLine="0"/>
        <w:jc w:val="left"/>
        <w:rPr>
          <w:b/>
          <w:sz w:val="21"/>
        </w:rPr>
      </w:pPr>
      <w:r>
        <w:rPr>
          <w:b/>
          <w:spacing w:val="-3"/>
          <w:sz w:val="21"/>
        </w:rPr>
        <w:t>以下情况不在保障范围内：</w:t>
      </w:r>
    </w:p>
    <w:p>
      <w:pPr>
        <w:pStyle w:val="ListParagraph"/>
        <w:numPr>
          <w:ilvl w:val="0"/>
          <w:numId w:val="75"/>
        </w:numPr>
        <w:tabs>
          <w:tab w:pos="767" w:val="left" w:leader="none"/>
        </w:tabs>
        <w:spacing w:line="240" w:lineRule="auto" w:before="43" w:after="0"/>
        <w:ind w:left="767" w:right="0" w:hanging="529"/>
        <w:jc w:val="left"/>
        <w:rPr>
          <w:b/>
          <w:sz w:val="21"/>
        </w:rPr>
      </w:pPr>
      <w:r>
        <w:rPr>
          <w:b/>
          <w:w w:val="95"/>
          <w:sz w:val="21"/>
        </w:rPr>
        <w:t>存</w:t>
      </w:r>
      <w:r>
        <w:rPr>
          <w:b/>
          <w:w w:val="95"/>
          <w:sz w:val="21"/>
        </w:rPr>
        <w:t>在</w:t>
      </w:r>
      <w:r>
        <w:rPr>
          <w:b/>
          <w:w w:val="95"/>
          <w:sz w:val="21"/>
        </w:rPr>
        <w:t>酒</w:t>
      </w:r>
      <w:r>
        <w:rPr>
          <w:b/>
          <w:w w:val="95"/>
          <w:sz w:val="21"/>
        </w:rPr>
        <w:t>精</w:t>
      </w:r>
      <w:r>
        <w:rPr>
          <w:b/>
          <w:w w:val="95"/>
          <w:sz w:val="21"/>
        </w:rPr>
        <w:t>滥</w:t>
      </w:r>
      <w:r>
        <w:rPr>
          <w:b/>
          <w:w w:val="95"/>
          <w:sz w:val="21"/>
        </w:rPr>
        <w:t>用</w:t>
      </w:r>
      <w:r>
        <w:rPr>
          <w:b/>
          <w:w w:val="95"/>
          <w:sz w:val="21"/>
        </w:rPr>
        <w:t>、</w:t>
      </w:r>
      <w:r>
        <w:rPr>
          <w:b/>
          <w:w w:val="95"/>
          <w:sz w:val="21"/>
        </w:rPr>
        <w:t>药</w:t>
      </w:r>
      <w:r>
        <w:rPr>
          <w:b/>
          <w:w w:val="95"/>
          <w:sz w:val="21"/>
        </w:rPr>
        <w:t>物滥用</w:t>
      </w:r>
      <w:r>
        <w:rPr>
          <w:b/>
          <w:w w:val="95"/>
          <w:sz w:val="21"/>
        </w:rPr>
        <w:t>或</w:t>
      </w:r>
      <w:r>
        <w:rPr>
          <w:b/>
          <w:w w:val="95"/>
          <w:sz w:val="21"/>
        </w:rPr>
        <w:t>获</w:t>
      </w:r>
      <w:r>
        <w:rPr>
          <w:b/>
          <w:w w:val="95"/>
          <w:sz w:val="21"/>
        </w:rPr>
        <w:t>得</w:t>
      </w:r>
      <w:r>
        <w:rPr>
          <w:b/>
          <w:w w:val="95"/>
          <w:sz w:val="21"/>
        </w:rPr>
        <w:t>性</w:t>
      </w:r>
      <w:r>
        <w:rPr>
          <w:b/>
          <w:w w:val="95"/>
          <w:sz w:val="21"/>
        </w:rPr>
        <w:t>免</w:t>
      </w:r>
      <w:r>
        <w:rPr>
          <w:b/>
          <w:w w:val="95"/>
          <w:sz w:val="21"/>
        </w:rPr>
        <w:t>疫</w:t>
      </w:r>
      <w:r>
        <w:rPr>
          <w:b/>
          <w:w w:val="95"/>
          <w:sz w:val="21"/>
        </w:rPr>
        <w:t>缺</w:t>
      </w:r>
      <w:r>
        <w:rPr>
          <w:b/>
          <w:w w:val="95"/>
          <w:sz w:val="21"/>
        </w:rPr>
        <w:t>陷</w:t>
      </w:r>
      <w:r>
        <w:rPr>
          <w:b/>
          <w:w w:val="95"/>
          <w:sz w:val="21"/>
        </w:rPr>
        <w:t>综合征（AIDS）</w:t>
      </w:r>
      <w:r>
        <w:rPr>
          <w:b/>
          <w:w w:val="95"/>
          <w:sz w:val="21"/>
        </w:rPr>
        <w:t>情</w:t>
      </w:r>
      <w:r>
        <w:rPr>
          <w:b/>
          <w:w w:val="95"/>
          <w:sz w:val="21"/>
        </w:rPr>
        <w:t>况</w:t>
      </w:r>
      <w:r>
        <w:rPr>
          <w:b/>
          <w:w w:val="95"/>
          <w:sz w:val="21"/>
        </w:rPr>
        <w:t>下</w:t>
      </w:r>
      <w:r>
        <w:rPr>
          <w:b/>
          <w:w w:val="95"/>
          <w:sz w:val="21"/>
        </w:rPr>
        <w:t>的</w:t>
      </w:r>
      <w:r>
        <w:rPr>
          <w:b/>
          <w:w w:val="95"/>
          <w:sz w:val="21"/>
        </w:rPr>
        <w:t>痴</w:t>
      </w:r>
      <w:r>
        <w:rPr>
          <w:b/>
          <w:w w:val="95"/>
          <w:sz w:val="21"/>
        </w:rPr>
        <w:t>呆</w:t>
      </w:r>
      <w:r>
        <w:rPr>
          <w:b/>
          <w:spacing w:val="-10"/>
          <w:w w:val="95"/>
          <w:sz w:val="21"/>
        </w:rPr>
        <w:t>；</w:t>
      </w:r>
    </w:p>
    <w:p>
      <w:pPr>
        <w:pStyle w:val="ListParagraph"/>
        <w:numPr>
          <w:ilvl w:val="0"/>
          <w:numId w:val="75"/>
        </w:numPr>
        <w:tabs>
          <w:tab w:pos="767" w:val="left" w:leader="none"/>
        </w:tabs>
        <w:spacing w:line="240" w:lineRule="auto" w:before="43" w:after="0"/>
        <w:ind w:left="767" w:right="0" w:hanging="529"/>
        <w:jc w:val="left"/>
        <w:rPr>
          <w:b/>
          <w:sz w:val="21"/>
        </w:rPr>
      </w:pPr>
      <w:r>
        <w:rPr>
          <w:b/>
          <w:spacing w:val="-3"/>
          <w:sz w:val="21"/>
        </w:rPr>
        <w:t>神经官能症和精神疾病。</w:t>
      </w:r>
    </w:p>
    <w:p>
      <w:pPr>
        <w:spacing w:after="0" w:line="240" w:lineRule="auto"/>
        <w:jc w:val="left"/>
        <w:rPr>
          <w:sz w:val="21"/>
        </w:rPr>
        <w:sectPr>
          <w:pgSz w:w="11910" w:h="16840"/>
          <w:pgMar w:header="0" w:footer="1005" w:top="1400" w:bottom="1200" w:left="1560" w:right="240"/>
        </w:sectPr>
      </w:pPr>
    </w:p>
    <w:p>
      <w:pPr>
        <w:pStyle w:val="BodyText"/>
        <w:spacing w:before="44"/>
      </w:pPr>
      <w:r>
        <w:rPr>
          <w:spacing w:val="-4"/>
        </w:rPr>
        <w:t>附表三：</w:t>
      </w:r>
    </w:p>
    <w:p>
      <w:pPr>
        <w:spacing w:line="240" w:lineRule="auto" w:before="3"/>
        <w:rPr>
          <w:sz w:val="35"/>
        </w:rPr>
      </w:pPr>
      <w:r>
        <w:rPr/>
        <w:br w:type="column"/>
      </w:r>
      <w:r>
        <w:rPr>
          <w:sz w:val="35"/>
        </w:rPr>
      </w:r>
    </w:p>
    <w:p>
      <w:pPr>
        <w:pStyle w:val="Heading1"/>
      </w:pPr>
      <w:r>
        <w:rPr>
          <w:w w:val="95"/>
        </w:rPr>
        <w:t>轻症疾病</w:t>
      </w:r>
      <w:r>
        <w:rPr>
          <w:w w:val="95"/>
        </w:rPr>
        <w:t>列</w:t>
      </w:r>
      <w:r>
        <w:rPr>
          <w:spacing w:val="-10"/>
          <w:w w:val="95"/>
        </w:rPr>
        <w:t>表</w:t>
      </w:r>
    </w:p>
    <w:p>
      <w:pPr>
        <w:spacing w:after="0"/>
        <w:sectPr>
          <w:pgSz w:w="11910" w:h="16840"/>
          <w:pgMar w:header="0" w:footer="1005" w:top="1400" w:bottom="1200" w:left="1560" w:right="240"/>
          <w:cols w:num="2" w:equalWidth="0">
            <w:col w:w="1121" w:space="2131"/>
            <w:col w:w="6858"/>
          </w:cols>
        </w:sectPr>
      </w:pPr>
    </w:p>
    <w:p>
      <w:pPr>
        <w:pStyle w:val="BodyText"/>
        <w:spacing w:before="4"/>
        <w:ind w:left="0"/>
        <w:rPr>
          <w:b/>
          <w:sz w:val="29"/>
        </w:rPr>
      </w:pPr>
    </w:p>
    <w:p>
      <w:pPr>
        <w:pStyle w:val="Heading4"/>
        <w:spacing w:line="266" w:lineRule="auto"/>
      </w:pPr>
      <w:r>
        <w:rPr>
          <w:spacing w:val="-2"/>
          <w:w w:val="95"/>
        </w:rPr>
        <w:t>本</w:t>
      </w:r>
      <w:r>
        <w:rPr>
          <w:spacing w:val="-2"/>
          <w:w w:val="95"/>
        </w:rPr>
        <w:t>合</w:t>
      </w:r>
      <w:r>
        <w:rPr>
          <w:spacing w:val="-13"/>
          <w:w w:val="95"/>
        </w:rPr>
        <w:t>同所指轻症疾病，是被</w:t>
      </w:r>
      <w:r>
        <w:rPr>
          <w:spacing w:val="-2"/>
          <w:w w:val="95"/>
        </w:rPr>
        <w:t>保</w:t>
      </w:r>
      <w:r>
        <w:rPr>
          <w:spacing w:val="-2"/>
          <w:w w:val="95"/>
        </w:rPr>
        <w:t>险</w:t>
      </w:r>
      <w:r>
        <w:rPr>
          <w:spacing w:val="-2"/>
          <w:w w:val="95"/>
        </w:rPr>
        <w:t>人发生符合以下定义</w:t>
      </w:r>
      <w:r>
        <w:rPr>
          <w:spacing w:val="-2"/>
          <w:w w:val="95"/>
        </w:rPr>
        <w:t>所</w:t>
      </w:r>
      <w:r>
        <w:rPr>
          <w:spacing w:val="-2"/>
          <w:w w:val="95"/>
        </w:rPr>
        <w:t>述</w:t>
      </w:r>
      <w:r>
        <w:rPr>
          <w:spacing w:val="-14"/>
          <w:w w:val="95"/>
        </w:rPr>
        <w:t>条件的疾病、疾病状态</w:t>
      </w:r>
      <w:r>
        <w:rPr>
          <w:spacing w:val="-2"/>
          <w:w w:val="95"/>
        </w:rPr>
        <w:t>或</w:t>
      </w:r>
      <w:r>
        <w:rPr>
          <w:spacing w:val="-2"/>
          <w:w w:val="95"/>
        </w:rPr>
        <w:t>手</w:t>
      </w:r>
      <w:r>
        <w:rPr>
          <w:spacing w:val="-2"/>
          <w:w w:val="95"/>
        </w:rPr>
        <w:t>术，</w:t>
      </w:r>
      <w:r>
        <w:rPr>
          <w:spacing w:val="-2"/>
          <w:w w:val="95"/>
        </w:rPr>
        <w:t>共</w:t>
      </w:r>
      <w:r>
        <w:rPr>
          <w:spacing w:val="-2"/>
          <w:w w:val="95"/>
        </w:rPr>
        <w:t>计</w:t>
      </w:r>
      <w:r>
        <w:rPr>
          <w:spacing w:val="-2"/>
          <w:w w:val="95"/>
        </w:rPr>
        <w:t>五十种，该疾病</w:t>
      </w:r>
      <w:r>
        <w:rPr>
          <w:spacing w:val="-2"/>
          <w:w w:val="95"/>
        </w:rPr>
        <w:t>或</w:t>
      </w:r>
      <w:r>
        <w:rPr>
          <w:spacing w:val="-2"/>
          <w:w w:val="95"/>
        </w:rPr>
        <w:t>手</w:t>
      </w:r>
      <w:r>
        <w:rPr>
          <w:spacing w:val="-2"/>
          <w:w w:val="95"/>
        </w:rPr>
        <w:t>术</w:t>
      </w:r>
      <w:r>
        <w:rPr>
          <w:spacing w:val="-2"/>
          <w:w w:val="95"/>
        </w:rPr>
        <w:t>应</w:t>
      </w:r>
      <w:r>
        <w:rPr>
          <w:spacing w:val="-2"/>
          <w:w w:val="95"/>
        </w:rPr>
        <w:t>由专科医生明确诊断。其中前三种疾病为</w:t>
      </w:r>
      <w:r>
        <w:rPr>
          <w:spacing w:val="-2"/>
          <w:w w:val="95"/>
        </w:rPr>
        <w:t>中</w:t>
      </w:r>
      <w:r>
        <w:rPr>
          <w:spacing w:val="-2"/>
          <w:w w:val="95"/>
        </w:rPr>
        <w:t>国</w:t>
      </w:r>
      <w:r>
        <w:rPr>
          <w:spacing w:val="-2"/>
          <w:w w:val="95"/>
        </w:rPr>
        <w:t>保</w:t>
      </w:r>
      <w:r>
        <w:rPr>
          <w:spacing w:val="-2"/>
          <w:w w:val="95"/>
        </w:rPr>
        <w:t>险</w:t>
      </w:r>
      <w:r>
        <w:rPr>
          <w:spacing w:val="-2"/>
          <w:w w:val="95"/>
        </w:rPr>
        <w:t>行业协</w:t>
      </w:r>
      <w:r>
        <w:rPr>
          <w:spacing w:val="-2"/>
          <w:w w:val="95"/>
        </w:rPr>
        <w:t>会</w:t>
      </w:r>
      <w:r>
        <w:rPr>
          <w:spacing w:val="-2"/>
          <w:w w:val="95"/>
        </w:rPr>
        <w:t>发</w:t>
      </w:r>
      <w:r>
        <w:rPr>
          <w:w w:val="95"/>
        </w:rPr>
        <w:t>布</w:t>
      </w:r>
      <w:r>
        <w:rPr>
          <w:w w:val="95"/>
        </w:rPr>
        <w:t>的《重大疾病保险的疾</w:t>
      </w:r>
      <w:r>
        <w:rPr>
          <w:w w:val="95"/>
        </w:rPr>
        <w:t>病</w:t>
      </w:r>
      <w:r>
        <w:rPr>
          <w:w w:val="95"/>
        </w:rPr>
        <w:t>定</w:t>
      </w:r>
      <w:r>
        <w:rPr>
          <w:w w:val="95"/>
        </w:rPr>
        <w:t>义使用规范（2020</w:t>
      </w:r>
      <w:r>
        <w:rPr>
          <w:spacing w:val="-21"/>
          <w:w w:val="95"/>
        </w:rPr>
        <w:t> 年</w:t>
      </w:r>
      <w:r>
        <w:rPr>
          <w:w w:val="95"/>
        </w:rPr>
        <w:t>修</w:t>
      </w:r>
      <w:r>
        <w:rPr>
          <w:w w:val="95"/>
        </w:rPr>
        <w:t>订</w:t>
      </w:r>
      <w:r>
        <w:rPr>
          <w:w w:val="95"/>
        </w:rPr>
        <w:t>版</w:t>
      </w:r>
      <w:r>
        <w:rPr>
          <w:spacing w:val="-106"/>
          <w:w w:val="95"/>
        </w:rPr>
        <w:t>）</w:t>
      </w:r>
      <w:r>
        <w:rPr>
          <w:w w:val="95"/>
        </w:rPr>
        <w:t>》中列明的轻度疾病，其他为</w:t>
      </w:r>
      <w:r>
        <w:rPr>
          <w:w w:val="95"/>
        </w:rPr>
        <w:t>本</w:t>
      </w:r>
      <w:r>
        <w:rPr>
          <w:spacing w:val="-2"/>
        </w:rPr>
        <w:t>公</w:t>
      </w:r>
      <w:r>
        <w:rPr>
          <w:spacing w:val="-2"/>
        </w:rPr>
        <w:t>司</w:t>
      </w:r>
      <w:r>
        <w:rPr>
          <w:spacing w:val="-2"/>
        </w:rPr>
        <w:t>增加的疾病。</w:t>
      </w:r>
    </w:p>
    <w:p>
      <w:pPr>
        <w:pStyle w:val="Heading5"/>
        <w:spacing w:before="7"/>
      </w:pPr>
      <w:r>
        <w:rPr>
          <w:spacing w:val="-3"/>
        </w:rPr>
        <w:t>一、恶性肿瘤——轻度</w:t>
      </w:r>
    </w:p>
    <w:p>
      <w:pPr>
        <w:pStyle w:val="BodyText"/>
        <w:spacing w:line="278" w:lineRule="auto" w:before="43"/>
        <w:ind w:right="1551"/>
        <w:jc w:val="both"/>
      </w:pPr>
      <w:r>
        <w:rPr>
          <w:spacing w:val="-4"/>
        </w:rPr>
        <w:t>指恶性细胞不受控制的进行性增长和扩散，浸润和破坏周围正常组织，可以经血管、淋巴管</w:t>
      </w:r>
      <w:r>
        <w:rPr>
          <w:spacing w:val="-4"/>
        </w:rPr>
        <w:t>和体腔扩散转移到身体其他部位，病灶经组织病理学检查（涵盖骨髓病理学检查）结果明确</w:t>
      </w:r>
      <w:r>
        <w:rPr>
          <w:spacing w:val="-2"/>
        </w:rPr>
        <w:t>诊断，临床诊断属于世界卫生组织（WHO，World Health </w:t>
      </w:r>
      <w:r>
        <w:rPr>
          <w:spacing w:val="6"/>
        </w:rPr>
        <w:t>O</w:t>
      </w:r>
      <w:r>
        <w:rPr>
          <w:spacing w:val="3"/>
        </w:rPr>
        <w:t>r</w:t>
      </w:r>
      <w:r>
        <w:rPr>
          <w:spacing w:val="6"/>
        </w:rPr>
        <w:t>gan</w:t>
      </w:r>
      <w:r>
        <w:rPr>
          <w:spacing w:val="3"/>
        </w:rPr>
        <w:t>i</w:t>
      </w:r>
      <w:r>
        <w:rPr>
          <w:spacing w:val="6"/>
        </w:rPr>
        <w:t>zat</w:t>
      </w:r>
      <w:r>
        <w:rPr>
          <w:spacing w:val="3"/>
        </w:rPr>
        <w:t>i</w:t>
      </w:r>
      <w:r>
        <w:rPr>
          <w:spacing w:val="6"/>
        </w:rPr>
        <w:t>o</w:t>
      </w:r>
      <w:r>
        <w:rPr>
          <w:spacing w:val="5"/>
        </w:rPr>
        <w:t>n</w:t>
      </w:r>
      <w:r>
        <w:rPr>
          <w:spacing w:val="-100"/>
        </w:rPr>
        <w:t>）</w:t>
      </w:r>
      <w:r>
        <w:rPr>
          <w:spacing w:val="-2"/>
        </w:rPr>
        <w:t>《疾病和有关健康</w:t>
      </w:r>
      <w:r>
        <w:rPr>
          <w:spacing w:val="-4"/>
        </w:rPr>
        <w:t>问题的国际统计分类》第十次修订版（ICD-10）的恶性肿瘤类别及《国际疾病分类肿瘤学专</w:t>
      </w:r>
      <w:r>
        <w:rPr/>
        <w:t>辑》第三版（ICD-O-3）</w:t>
      </w:r>
      <w:r>
        <w:rPr>
          <w:spacing w:val="-2"/>
        </w:rPr>
        <w:t>的肿瘤形态学编码属于 </w:t>
      </w:r>
      <w:r>
        <w:rPr/>
        <w:t>3、6、9（恶性肿瘤）范畴，但不在“恶性</w:t>
      </w:r>
      <w:r>
        <w:rPr>
          <w:spacing w:val="-2"/>
        </w:rPr>
        <w:t>肿瘤——重度”保障范围的疾病。且特指下列六项之一：</w:t>
      </w:r>
    </w:p>
    <w:p>
      <w:pPr>
        <w:pStyle w:val="ListParagraph"/>
        <w:numPr>
          <w:ilvl w:val="0"/>
          <w:numId w:val="76"/>
        </w:numPr>
        <w:tabs>
          <w:tab w:pos="767" w:val="left" w:leader="none"/>
        </w:tabs>
        <w:spacing w:line="240" w:lineRule="auto" w:before="0" w:after="0"/>
        <w:ind w:left="767" w:right="0" w:hanging="529"/>
        <w:jc w:val="left"/>
        <w:rPr>
          <w:sz w:val="21"/>
        </w:rPr>
      </w:pPr>
      <w:r>
        <w:rPr>
          <w:spacing w:val="-2"/>
          <w:sz w:val="21"/>
        </w:rPr>
        <w:t>TNM</w:t>
      </w:r>
      <w:r>
        <w:rPr>
          <w:spacing w:val="-11"/>
          <w:sz w:val="21"/>
        </w:rPr>
        <w:t> 分期为Ⅰ期的甲状腺癌；</w:t>
      </w:r>
    </w:p>
    <w:p>
      <w:pPr>
        <w:pStyle w:val="ListParagraph"/>
        <w:numPr>
          <w:ilvl w:val="0"/>
          <w:numId w:val="76"/>
        </w:numPr>
        <w:tabs>
          <w:tab w:pos="767" w:val="left" w:leader="none"/>
        </w:tabs>
        <w:spacing w:line="240" w:lineRule="auto" w:before="42" w:after="0"/>
        <w:ind w:left="767" w:right="0" w:hanging="529"/>
        <w:jc w:val="left"/>
        <w:rPr>
          <w:sz w:val="21"/>
        </w:rPr>
      </w:pPr>
      <w:r>
        <w:rPr>
          <w:spacing w:val="-2"/>
          <w:position w:val="1"/>
          <w:sz w:val="21"/>
        </w:rPr>
        <w:t>TNM</w:t>
      </w:r>
      <w:r>
        <w:rPr>
          <w:spacing w:val="-22"/>
          <w:position w:val="1"/>
          <w:sz w:val="21"/>
        </w:rPr>
        <w:t> 分期为 </w:t>
      </w:r>
      <w:r>
        <w:rPr>
          <w:spacing w:val="-2"/>
          <w:position w:val="1"/>
          <w:sz w:val="21"/>
        </w:rPr>
        <w:t>T</w:t>
      </w:r>
      <w:r>
        <w:rPr>
          <w:spacing w:val="-2"/>
          <w:sz w:val="11"/>
        </w:rPr>
        <w:t>1</w:t>
      </w:r>
      <w:r>
        <w:rPr>
          <w:spacing w:val="-2"/>
          <w:position w:val="1"/>
          <w:sz w:val="21"/>
        </w:rPr>
        <w:t>N</w:t>
      </w:r>
      <w:r>
        <w:rPr>
          <w:spacing w:val="-2"/>
          <w:sz w:val="11"/>
        </w:rPr>
        <w:t>0</w:t>
      </w:r>
      <w:r>
        <w:rPr>
          <w:spacing w:val="-2"/>
          <w:position w:val="1"/>
          <w:sz w:val="21"/>
        </w:rPr>
        <w:t>M</w:t>
      </w:r>
      <w:r>
        <w:rPr>
          <w:spacing w:val="-2"/>
          <w:sz w:val="11"/>
        </w:rPr>
        <w:t>0</w:t>
      </w:r>
      <w:r>
        <w:rPr>
          <w:spacing w:val="-25"/>
          <w:sz w:val="11"/>
        </w:rPr>
        <w:t> </w:t>
      </w:r>
      <w:r>
        <w:rPr>
          <w:spacing w:val="-4"/>
          <w:position w:val="1"/>
          <w:sz w:val="21"/>
        </w:rPr>
        <w:t>期的前列腺癌；</w:t>
      </w:r>
    </w:p>
    <w:p>
      <w:pPr>
        <w:pStyle w:val="ListParagraph"/>
        <w:numPr>
          <w:ilvl w:val="0"/>
          <w:numId w:val="76"/>
        </w:numPr>
        <w:tabs>
          <w:tab w:pos="767" w:val="left" w:leader="none"/>
        </w:tabs>
        <w:spacing w:line="240" w:lineRule="auto" w:before="43" w:after="0"/>
        <w:ind w:left="767" w:right="0" w:hanging="529"/>
        <w:jc w:val="left"/>
        <w:rPr>
          <w:sz w:val="21"/>
        </w:rPr>
      </w:pPr>
      <w:r>
        <w:rPr>
          <w:spacing w:val="-3"/>
          <w:sz w:val="21"/>
        </w:rPr>
        <w:t>黑色素瘤以外的未发生淋巴结和远处转移的皮肤恶性肿瘤；</w:t>
      </w:r>
    </w:p>
    <w:p>
      <w:pPr>
        <w:pStyle w:val="ListParagraph"/>
        <w:numPr>
          <w:ilvl w:val="0"/>
          <w:numId w:val="76"/>
        </w:numPr>
        <w:tabs>
          <w:tab w:pos="767" w:val="left" w:leader="none"/>
        </w:tabs>
        <w:spacing w:line="240" w:lineRule="auto" w:before="43" w:after="0"/>
        <w:ind w:left="767" w:right="0" w:hanging="529"/>
        <w:jc w:val="left"/>
        <w:rPr>
          <w:sz w:val="21"/>
        </w:rPr>
      </w:pPr>
      <w:r>
        <w:rPr>
          <w:spacing w:val="-14"/>
          <w:sz w:val="21"/>
        </w:rPr>
        <w:t>相当于 </w:t>
      </w:r>
      <w:r>
        <w:rPr>
          <w:spacing w:val="-2"/>
          <w:sz w:val="21"/>
        </w:rPr>
        <w:t>Binet</w:t>
      </w:r>
      <w:r>
        <w:rPr>
          <w:spacing w:val="-19"/>
          <w:sz w:val="21"/>
        </w:rPr>
        <w:t> 分期方案 </w:t>
      </w:r>
      <w:r>
        <w:rPr>
          <w:spacing w:val="-2"/>
          <w:sz w:val="21"/>
        </w:rPr>
        <w:t>A</w:t>
      </w:r>
      <w:r>
        <w:rPr>
          <w:spacing w:val="-10"/>
          <w:sz w:val="21"/>
        </w:rPr>
        <w:t> 期程度的慢性淋巴细胞白血病；</w:t>
      </w:r>
    </w:p>
    <w:p>
      <w:pPr>
        <w:pStyle w:val="ListParagraph"/>
        <w:numPr>
          <w:ilvl w:val="0"/>
          <w:numId w:val="76"/>
        </w:numPr>
        <w:tabs>
          <w:tab w:pos="767" w:val="left" w:leader="none"/>
        </w:tabs>
        <w:spacing w:line="240" w:lineRule="auto" w:before="43" w:after="0"/>
        <w:ind w:left="767" w:right="0" w:hanging="529"/>
        <w:jc w:val="left"/>
        <w:rPr>
          <w:sz w:val="21"/>
        </w:rPr>
      </w:pPr>
      <w:r>
        <w:rPr>
          <w:spacing w:val="-14"/>
          <w:sz w:val="21"/>
        </w:rPr>
        <w:t>相当于 </w:t>
      </w:r>
      <w:r>
        <w:rPr>
          <w:sz w:val="21"/>
        </w:rPr>
        <w:t>Ann</w:t>
      </w:r>
      <w:r>
        <w:rPr>
          <w:spacing w:val="-26"/>
          <w:sz w:val="21"/>
        </w:rPr>
        <w:t> </w:t>
      </w:r>
      <w:r>
        <w:rPr>
          <w:sz w:val="21"/>
        </w:rPr>
        <w:t>Arbor</w:t>
      </w:r>
      <w:r>
        <w:rPr>
          <w:spacing w:val="-9"/>
          <w:sz w:val="21"/>
        </w:rPr>
        <w:t> 分期方案Ⅰ期程度的何杰金氏病；</w:t>
      </w:r>
    </w:p>
    <w:p>
      <w:pPr>
        <w:pStyle w:val="ListParagraph"/>
        <w:numPr>
          <w:ilvl w:val="0"/>
          <w:numId w:val="76"/>
        </w:numPr>
        <w:tabs>
          <w:tab w:pos="767" w:val="left" w:leader="none"/>
        </w:tabs>
        <w:spacing w:line="278" w:lineRule="auto" w:before="43" w:after="0"/>
        <w:ind w:left="238" w:right="1462" w:firstLine="0"/>
        <w:jc w:val="left"/>
        <w:rPr>
          <w:sz w:val="21"/>
        </w:rPr>
      </w:pPr>
      <w:r>
        <w:rPr>
          <w:spacing w:val="-5"/>
          <w:sz w:val="21"/>
        </w:rPr>
        <w:t>未发生淋巴结和远处转移且 </w:t>
      </w:r>
      <w:r>
        <w:rPr>
          <w:sz w:val="21"/>
        </w:rPr>
        <w:t>WHO</w:t>
      </w:r>
      <w:r>
        <w:rPr>
          <w:spacing w:val="-23"/>
          <w:sz w:val="21"/>
        </w:rPr>
        <w:t> 分级为 </w:t>
      </w:r>
      <w:r>
        <w:rPr>
          <w:sz w:val="21"/>
        </w:rPr>
        <w:t>G1</w:t>
      </w:r>
      <w:r>
        <w:rPr>
          <w:spacing w:val="-18"/>
          <w:sz w:val="21"/>
        </w:rPr>
        <w:t> 级别</w:t>
      </w:r>
      <w:r>
        <w:rPr>
          <w:sz w:val="21"/>
        </w:rPr>
        <w:t>（核分裂像&lt;10/50</w:t>
      </w:r>
      <w:r>
        <w:rPr>
          <w:spacing w:val="-26"/>
          <w:sz w:val="21"/>
        </w:rPr>
        <w:t> </w:t>
      </w:r>
      <w:r>
        <w:rPr>
          <w:sz w:val="21"/>
        </w:rPr>
        <w:t>HPF</w:t>
      </w:r>
      <w:r>
        <w:rPr>
          <w:spacing w:val="-37"/>
          <w:sz w:val="21"/>
        </w:rPr>
        <w:t> 和 </w:t>
      </w:r>
      <w:r>
        <w:rPr>
          <w:sz w:val="21"/>
        </w:rPr>
        <w:t>ki-67≤2%）</w:t>
      </w:r>
      <w:r>
        <w:rPr>
          <w:spacing w:val="-2"/>
          <w:sz w:val="21"/>
        </w:rPr>
        <w:t>的神经内分泌肿瘤。</w:t>
      </w:r>
    </w:p>
    <w:p>
      <w:pPr>
        <w:spacing w:line="269" w:lineRule="exact" w:before="0"/>
        <w:ind w:left="238" w:right="0" w:firstLine="0"/>
        <w:jc w:val="left"/>
        <w:rPr>
          <w:b/>
          <w:sz w:val="21"/>
        </w:rPr>
      </w:pPr>
      <w:r>
        <w:rPr>
          <w:b/>
          <w:spacing w:val="-3"/>
          <w:sz w:val="21"/>
        </w:rPr>
        <w:t>下列疾病不属于“恶性肿瘤——轻度”，不在保障范围内：</w:t>
      </w:r>
    </w:p>
    <w:p>
      <w:pPr>
        <w:spacing w:line="278" w:lineRule="auto" w:before="43"/>
        <w:ind w:left="238" w:right="1549" w:firstLine="0"/>
        <w:jc w:val="left"/>
        <w:rPr>
          <w:b/>
          <w:sz w:val="21"/>
        </w:rPr>
      </w:pPr>
      <w:r>
        <w:rPr>
          <w:b/>
          <w:spacing w:val="-2"/>
          <w:sz w:val="21"/>
        </w:rPr>
        <w:t>ICD-O-3</w:t>
      </w:r>
      <w:r>
        <w:rPr>
          <w:b/>
          <w:spacing w:val="-11"/>
          <w:sz w:val="21"/>
        </w:rPr>
        <w:t> 肿瘤形态学编码属于 </w:t>
      </w:r>
      <w:r>
        <w:rPr>
          <w:b/>
          <w:spacing w:val="-2"/>
          <w:sz w:val="21"/>
        </w:rPr>
        <w:t>0（良性肿瘤</w:t>
      </w:r>
      <w:r>
        <w:rPr>
          <w:b/>
          <w:spacing w:val="-106"/>
          <w:sz w:val="21"/>
        </w:rPr>
        <w:t>）</w:t>
      </w:r>
      <w:r>
        <w:rPr>
          <w:b/>
          <w:spacing w:val="-2"/>
          <w:sz w:val="21"/>
        </w:rPr>
        <w:t>、1（动态未定性肿瘤</w:t>
      </w:r>
      <w:r>
        <w:rPr>
          <w:b/>
          <w:spacing w:val="-106"/>
          <w:sz w:val="21"/>
        </w:rPr>
        <w:t>）</w:t>
      </w:r>
      <w:r>
        <w:rPr>
          <w:b/>
          <w:spacing w:val="-2"/>
          <w:sz w:val="21"/>
        </w:rPr>
        <w:t>、2（原位癌和非侵袭性</w:t>
      </w:r>
      <w:r>
        <w:rPr>
          <w:b/>
          <w:spacing w:val="-2"/>
          <w:sz w:val="21"/>
        </w:rPr>
        <w:t>癌）范畴的疾病，如：</w:t>
      </w:r>
    </w:p>
    <w:p>
      <w:pPr>
        <w:pStyle w:val="ListParagraph"/>
        <w:numPr>
          <w:ilvl w:val="0"/>
          <w:numId w:val="77"/>
        </w:numPr>
        <w:tabs>
          <w:tab w:pos="452" w:val="left" w:leader="none"/>
        </w:tabs>
        <w:spacing w:line="278" w:lineRule="auto" w:before="0" w:after="0"/>
        <w:ind w:left="238" w:right="1549" w:firstLine="0"/>
        <w:jc w:val="left"/>
        <w:rPr>
          <w:b/>
          <w:sz w:val="21"/>
        </w:rPr>
      </w:pPr>
      <w:r>
        <w:rPr>
          <w:b/>
          <w:spacing w:val="-2"/>
          <w:sz w:val="21"/>
        </w:rPr>
        <w:t>原位癌，癌前病变，非浸润性癌，非侵袭性癌，肿瘤细胞未侵犯基底层，上皮内瘤变，</w:t>
      </w:r>
      <w:r>
        <w:rPr>
          <w:b/>
          <w:spacing w:val="-2"/>
          <w:sz w:val="21"/>
        </w:rPr>
        <w:t>细胞不典型性增生等；</w:t>
      </w:r>
    </w:p>
    <w:p>
      <w:pPr>
        <w:pStyle w:val="ListParagraph"/>
        <w:numPr>
          <w:ilvl w:val="0"/>
          <w:numId w:val="77"/>
        </w:numPr>
        <w:tabs>
          <w:tab w:pos="451" w:val="left" w:leader="none"/>
        </w:tabs>
        <w:spacing w:line="278" w:lineRule="auto" w:before="0" w:after="0"/>
        <w:ind w:left="238" w:right="2905" w:firstLine="0"/>
        <w:jc w:val="left"/>
        <w:rPr>
          <w:b/>
          <w:sz w:val="21"/>
        </w:rPr>
      </w:pPr>
      <w:r>
        <w:rPr>
          <w:b/>
          <w:spacing w:val="-2"/>
          <w:sz w:val="21"/>
        </w:rPr>
        <w:t>交界性肿瘤，交界恶性肿瘤，肿瘤低度恶性潜能，潜在低度恶性肿瘤等。</w:t>
      </w:r>
      <w:r>
        <w:rPr>
          <w:b/>
          <w:spacing w:val="-2"/>
          <w:sz w:val="21"/>
        </w:rPr>
        <w:t>二、较轻急性心肌梗死</w:t>
      </w:r>
    </w:p>
    <w:p>
      <w:pPr>
        <w:pStyle w:val="BodyText"/>
        <w:spacing w:line="278" w:lineRule="auto"/>
        <w:ind w:right="1547"/>
      </w:pPr>
      <w:r>
        <w:rPr>
          <w:w w:val="100"/>
        </w:rPr>
        <w:t>急性心肌梗死指由于冠状动脉闭塞或梗阻引起部分心肌严重的持久性缺血造成急性心肌坏</w:t>
      </w:r>
      <w:r>
        <w:rPr>
          <w:spacing w:val="4"/>
          <w:w w:val="100"/>
        </w:rPr>
        <w:t>死。急性心肌梗死的诊断必须依据国际国内诊断标准，符合</w:t>
      </w:r>
      <w:r>
        <w:rPr>
          <w:spacing w:val="5"/>
          <w:w w:val="100"/>
        </w:rPr>
        <w:t>（</w:t>
      </w:r>
      <w:r>
        <w:rPr>
          <w:spacing w:val="4"/>
          <w:w w:val="100"/>
        </w:rPr>
        <w:t>1）检测到肌酸激酶同工酶</w:t>
      </w:r>
    </w:p>
    <w:p>
      <w:pPr>
        <w:pStyle w:val="BodyText"/>
        <w:spacing w:line="278" w:lineRule="auto"/>
        <w:ind w:right="1548"/>
        <w:jc w:val="both"/>
      </w:pPr>
      <w:r>
        <w:rPr>
          <w:spacing w:val="-2"/>
        </w:rPr>
        <w:t>（CK-MB）或肌钙蛋白（cTn）升高和/或降低的动态变化，至少一次达到或超过心肌梗死的</w:t>
      </w:r>
      <w:r>
        <w:rPr>
          <w:spacing w:val="-19"/>
        </w:rPr>
        <w:t>临床诊断标准；</w:t>
      </w:r>
      <w:r>
        <w:rPr>
          <w:spacing w:val="30"/>
        </w:rPr>
        <w:t>（</w:t>
      </w:r>
      <w:r>
        <w:rPr>
          <w:spacing w:val="28"/>
        </w:rPr>
        <w:t>2</w:t>
      </w:r>
      <w:r>
        <w:rPr>
          <w:spacing w:val="11"/>
        </w:rPr>
        <w:t>）</w:t>
      </w:r>
      <w:r>
        <w:rPr>
          <w:spacing w:val="-6"/>
        </w:rPr>
        <w:t>同时存在下列之一的证据，包括：缺血性胸痛症状、新发生的缺血性心</w:t>
      </w:r>
      <w:r>
        <w:rPr>
          <w:spacing w:val="-6"/>
        </w:rPr>
        <w:t>电图改变、新生成的病理性 </w:t>
      </w:r>
      <w:r>
        <w:rPr>
          <w:spacing w:val="-4"/>
        </w:rPr>
        <w:t>Q</w:t>
      </w:r>
      <w:r>
        <w:rPr>
          <w:spacing w:val="-8"/>
        </w:rPr>
        <w:t> 波、影像学证据显示有新出现的心肌活性丧失或新出现局部室</w:t>
      </w:r>
      <w:r>
        <w:rPr>
          <w:spacing w:val="-2"/>
        </w:rPr>
        <w:t>壁运动异常、冠脉造影证实存在冠状动脉血栓。</w:t>
      </w:r>
    </w:p>
    <w:p>
      <w:pPr>
        <w:pStyle w:val="BodyText"/>
        <w:spacing w:line="278" w:lineRule="auto"/>
        <w:ind w:right="1549"/>
      </w:pPr>
      <w:r>
        <w:rPr>
          <w:spacing w:val="-6"/>
        </w:rPr>
        <w:t>较轻急性心肌梗死指依照上述标准被明确诊断为急性心肌梗死，但未达到“较重急性心肌梗</w:t>
      </w:r>
      <w:r>
        <w:rPr>
          <w:spacing w:val="-2"/>
        </w:rPr>
        <w:t>死”的给付标准。</w:t>
      </w:r>
    </w:p>
    <w:p>
      <w:pPr>
        <w:pStyle w:val="Heading5"/>
        <w:spacing w:line="278" w:lineRule="auto"/>
        <w:ind w:right="3011"/>
      </w:pPr>
      <w:r>
        <w:rPr>
          <w:spacing w:val="-2"/>
        </w:rPr>
        <w:t>其他非冠状动脉阻塞性疾病引起的肌钙蛋白（cTn）升高不在保障范围内。</w:t>
      </w:r>
      <w:r>
        <w:rPr>
          <w:spacing w:val="-2"/>
        </w:rPr>
        <w:t>三、轻度脑中风后遗症</w:t>
      </w:r>
    </w:p>
    <w:p>
      <w:pPr>
        <w:pStyle w:val="BodyText"/>
        <w:spacing w:line="278" w:lineRule="auto"/>
        <w:ind w:right="1549"/>
        <w:jc w:val="both"/>
      </w:pPr>
      <w:r>
        <w:rPr>
          <w:spacing w:val="-4"/>
        </w:rPr>
        <w:t>指因脑血管的突发病变引起脑血管出血、栓塞或梗塞，须由头颅断层扫描</w:t>
      </w:r>
      <w:r>
        <w:rPr>
          <w:spacing w:val="21"/>
        </w:rPr>
        <w:t>（C</w:t>
      </w:r>
      <w:r>
        <w:rPr>
          <w:spacing w:val="24"/>
        </w:rPr>
        <w:t>T</w:t>
      </w:r>
      <w:r>
        <w:rPr>
          <w:spacing w:val="-82"/>
        </w:rPr>
        <w:t>）</w:t>
      </w:r>
      <w:r>
        <w:rPr>
          <w:spacing w:val="-4"/>
        </w:rPr>
        <w:t>、核磁共振</w:t>
      </w:r>
      <w:r>
        <w:rPr>
          <w:spacing w:val="-2"/>
        </w:rPr>
        <w:t>检查（MRI）等影像学检查证实，并导致神经系统永久性的功能障碍，但未达到“严重脑中</w:t>
      </w:r>
      <w:r>
        <w:rPr>
          <w:spacing w:val="-2"/>
        </w:rPr>
        <w:t>风后遗症”的给付标准，在疾病确诊 </w:t>
      </w:r>
      <w:r>
        <w:rPr/>
        <w:t>180</w:t>
      </w:r>
      <w:r>
        <w:rPr>
          <w:spacing w:val="-5"/>
        </w:rPr>
        <w:t> 天后，仍遗留下列至少一种障碍：</w:t>
      </w:r>
    </w:p>
    <w:p>
      <w:pPr>
        <w:pStyle w:val="ListParagraph"/>
        <w:numPr>
          <w:ilvl w:val="0"/>
          <w:numId w:val="78"/>
        </w:numPr>
        <w:tabs>
          <w:tab w:pos="767" w:val="left" w:leader="none"/>
        </w:tabs>
        <w:spacing w:line="269" w:lineRule="exact" w:before="0" w:after="0"/>
        <w:ind w:left="767" w:right="0" w:hanging="529"/>
        <w:jc w:val="left"/>
        <w:rPr>
          <w:sz w:val="21"/>
        </w:rPr>
      </w:pPr>
      <w:r>
        <w:rPr>
          <w:spacing w:val="-2"/>
          <w:sz w:val="21"/>
        </w:rPr>
        <w:t>一肢（含）</w:t>
      </w:r>
      <w:r>
        <w:rPr>
          <w:spacing w:val="-9"/>
          <w:sz w:val="21"/>
        </w:rPr>
        <w:t>以上肢体肌力为 </w:t>
      </w:r>
      <w:r>
        <w:rPr>
          <w:spacing w:val="-2"/>
          <w:sz w:val="21"/>
        </w:rPr>
        <w:t>3</w:t>
      </w:r>
      <w:r>
        <w:rPr>
          <w:spacing w:val="-21"/>
          <w:sz w:val="21"/>
        </w:rPr>
        <w:t> 级；</w:t>
      </w:r>
    </w:p>
    <w:p>
      <w:pPr>
        <w:pStyle w:val="ListParagraph"/>
        <w:numPr>
          <w:ilvl w:val="0"/>
          <w:numId w:val="78"/>
        </w:numPr>
        <w:tabs>
          <w:tab w:pos="767" w:val="left" w:leader="none"/>
        </w:tabs>
        <w:spacing w:line="240" w:lineRule="auto" w:before="42" w:after="0"/>
        <w:ind w:left="767" w:right="0" w:hanging="529"/>
        <w:jc w:val="left"/>
        <w:rPr>
          <w:sz w:val="21"/>
        </w:rPr>
      </w:pPr>
      <w:r>
        <w:rPr>
          <w:spacing w:val="-3"/>
          <w:sz w:val="21"/>
        </w:rPr>
        <w:t>自主生活能力部分丧失，无法独立完成六项基本日常生活活动中的两项。</w:t>
      </w:r>
    </w:p>
    <w:p>
      <w:pPr>
        <w:spacing w:after="0" w:line="240" w:lineRule="auto"/>
        <w:jc w:val="left"/>
        <w:rPr>
          <w:sz w:val="21"/>
        </w:rPr>
        <w:sectPr>
          <w:type w:val="continuous"/>
          <w:pgSz w:w="11910" w:h="16840"/>
          <w:pgMar w:header="0" w:footer="1005" w:top="240" w:bottom="1200" w:left="1560" w:right="240"/>
        </w:sectPr>
      </w:pPr>
    </w:p>
    <w:p>
      <w:pPr>
        <w:pStyle w:val="Heading5"/>
        <w:spacing w:before="44"/>
      </w:pPr>
      <w:r>
        <w:rPr>
          <w:spacing w:val="-2"/>
        </w:rPr>
        <w:t>四、原位癌</w:t>
      </w:r>
    </w:p>
    <w:p>
      <w:pPr>
        <w:spacing w:line="278" w:lineRule="auto" w:before="43"/>
        <w:ind w:left="238" w:right="1548" w:firstLine="0"/>
        <w:jc w:val="both"/>
        <w:rPr>
          <w:b/>
          <w:sz w:val="21"/>
        </w:rPr>
      </w:pPr>
      <w:r>
        <w:rPr>
          <w:spacing w:val="-6"/>
          <w:w w:val="100"/>
          <w:sz w:val="21"/>
        </w:rPr>
        <w:t>指恶性细胞局限于上皮内但尚未穿破基底膜浸润周围正常组织的癌细胞新生物，必须在生前</w:t>
      </w:r>
      <w:r>
        <w:rPr>
          <w:spacing w:val="-12"/>
          <w:w w:val="100"/>
          <w:sz w:val="21"/>
        </w:rPr>
        <w:t>诊断。索赔时须提交由病理科专科医生签署的固定活组织病理学检查报告和由专科医生签署</w:t>
      </w:r>
      <w:r>
        <w:rPr>
          <w:w w:val="100"/>
          <w:sz w:val="21"/>
        </w:rPr>
        <w:t>的临床诊断及治疗报告，</w:t>
      </w:r>
      <w:r>
        <w:rPr>
          <w:b/>
          <w:w w:val="100"/>
          <w:sz w:val="21"/>
        </w:rPr>
        <w:t>仅凭细胞学检查结果的临床诊断将不被接受。癌前病变</w:t>
      </w:r>
      <w:r>
        <w:rPr>
          <w:b/>
          <w:spacing w:val="2"/>
          <w:w w:val="100"/>
          <w:sz w:val="21"/>
        </w:rPr>
        <w:t>（包括宫</w:t>
      </w:r>
      <w:r>
        <w:rPr>
          <w:b/>
          <w:w w:val="100"/>
          <w:sz w:val="21"/>
        </w:rPr>
        <w:t>颈上皮内瘤样病变</w:t>
      </w:r>
      <w:r>
        <w:rPr>
          <w:b/>
          <w:spacing w:val="-54"/>
          <w:sz w:val="21"/>
        </w:rPr>
        <w:t> </w:t>
      </w:r>
      <w:r>
        <w:rPr>
          <w:b/>
          <w:w w:val="99"/>
          <w:sz w:val="21"/>
        </w:rPr>
        <w:t>CIN-1</w:t>
      </w:r>
      <w:r>
        <w:rPr>
          <w:b/>
          <w:spacing w:val="-27"/>
          <w:w w:val="100"/>
          <w:sz w:val="21"/>
        </w:rPr>
        <w:t>，</w:t>
      </w:r>
      <w:r>
        <w:rPr>
          <w:b/>
          <w:w w:val="99"/>
          <w:sz w:val="21"/>
        </w:rPr>
        <w:t>CIN-2</w:t>
      </w:r>
      <w:r>
        <w:rPr>
          <w:b/>
          <w:spacing w:val="-5"/>
          <w:w w:val="100"/>
          <w:sz w:val="21"/>
        </w:rPr>
        <w:t>，重度不典型增生但非原位癌</w:t>
      </w:r>
      <w:r>
        <w:rPr>
          <w:b/>
          <w:spacing w:val="-106"/>
          <w:w w:val="100"/>
          <w:sz w:val="21"/>
        </w:rPr>
        <w:t>）</w:t>
      </w:r>
      <w:r>
        <w:rPr>
          <w:b/>
          <w:spacing w:val="-6"/>
          <w:w w:val="100"/>
          <w:sz w:val="21"/>
        </w:rPr>
        <w:t>、感染艾滋病毒或患艾滋病期间所患极早期恶性肿瘤或恶性病变不在保障范围之内。</w:t>
      </w:r>
    </w:p>
    <w:p>
      <w:pPr>
        <w:pStyle w:val="Heading5"/>
        <w:spacing w:line="268" w:lineRule="exact"/>
      </w:pPr>
      <w:r>
        <w:rPr>
          <w:spacing w:val="-3"/>
        </w:rPr>
        <w:t>五、早期系统性硬皮病</w:t>
      </w:r>
    </w:p>
    <w:p>
      <w:pPr>
        <w:pStyle w:val="BodyText"/>
        <w:spacing w:line="278" w:lineRule="auto" w:before="43"/>
        <w:ind w:right="1443"/>
      </w:pPr>
      <w:r>
        <w:rPr>
          <w:spacing w:val="-13"/>
        </w:rPr>
        <w:t>指一种以局限性或弥漫性皮肤增厚和皮肤、血管、内脏器官异常纤维化为特征的结缔组织病。</w:t>
      </w:r>
      <w:r>
        <w:rPr>
          <w:spacing w:val="-2"/>
        </w:rPr>
        <w:t>本病须经专科医生明确诊断，未达到本合同所指重大疾病“系统性硬皮病”的标准，并须满</w:t>
      </w:r>
      <w:r>
        <w:rPr>
          <w:spacing w:val="-2"/>
        </w:rPr>
        <w:t>足下列所有条件：</w:t>
      </w:r>
    </w:p>
    <w:p>
      <w:pPr>
        <w:pStyle w:val="ListParagraph"/>
        <w:numPr>
          <w:ilvl w:val="0"/>
          <w:numId w:val="79"/>
        </w:numPr>
        <w:tabs>
          <w:tab w:pos="767" w:val="left" w:leader="none"/>
        </w:tabs>
        <w:spacing w:line="278" w:lineRule="auto" w:before="0" w:after="0"/>
        <w:ind w:left="238" w:right="1548" w:firstLine="0"/>
        <w:jc w:val="both"/>
        <w:rPr>
          <w:sz w:val="21"/>
        </w:rPr>
      </w:pPr>
      <w:r>
        <w:rPr>
          <w:spacing w:val="-4"/>
          <w:sz w:val="21"/>
        </w:rPr>
        <w:t>必须是经由本公司认可医院的风湿科专科医生根据美国风湿病学会（ACR）及欧洲抗风</w:t>
      </w:r>
      <w:r>
        <w:rPr>
          <w:spacing w:val="-2"/>
          <w:sz w:val="21"/>
        </w:rPr>
        <w:t>湿病联盟(EULAR</w:t>
      </w:r>
      <w:r>
        <w:rPr>
          <w:spacing w:val="-9"/>
          <w:sz w:val="21"/>
        </w:rPr>
        <w:t>)在 </w:t>
      </w:r>
      <w:r>
        <w:rPr>
          <w:spacing w:val="-2"/>
          <w:sz w:val="21"/>
        </w:rPr>
        <w:t>2013</w:t>
      </w:r>
      <w:r>
        <w:rPr>
          <w:spacing w:val="-10"/>
          <w:sz w:val="21"/>
        </w:rPr>
        <w:t> 年发布的系统性硬皮病诊断标准确认达到确诊标准</w:t>
      </w:r>
      <w:r>
        <w:rPr>
          <w:spacing w:val="-2"/>
          <w:sz w:val="21"/>
        </w:rPr>
        <w:t>（总分值由每一</w:t>
      </w:r>
      <w:r>
        <w:rPr>
          <w:sz w:val="21"/>
        </w:rPr>
        <w:t>个分类中的最高比重（分值）相加而成，总分≥9</w:t>
      </w:r>
      <w:r>
        <w:rPr>
          <w:spacing w:val="-7"/>
          <w:sz w:val="21"/>
        </w:rPr>
        <w:t> 分的患者被分类为系统性硬皮病</w:t>
      </w:r>
      <w:r>
        <w:rPr>
          <w:spacing w:val="-106"/>
          <w:sz w:val="21"/>
        </w:rPr>
        <w:t>）</w:t>
      </w:r>
      <w:r>
        <w:rPr>
          <w:sz w:val="21"/>
        </w:rPr>
        <w:t>；</w:t>
      </w:r>
    </w:p>
    <w:p>
      <w:pPr>
        <w:pStyle w:val="ListParagraph"/>
        <w:numPr>
          <w:ilvl w:val="0"/>
          <w:numId w:val="79"/>
        </w:numPr>
        <w:tabs>
          <w:tab w:pos="767" w:val="left" w:leader="none"/>
        </w:tabs>
        <w:spacing w:line="278" w:lineRule="auto" w:before="0" w:after="0"/>
        <w:ind w:left="238" w:right="4084" w:firstLine="0"/>
        <w:jc w:val="left"/>
        <w:rPr>
          <w:b/>
          <w:sz w:val="21"/>
        </w:rPr>
      </w:pPr>
      <w:r>
        <w:rPr>
          <w:spacing w:val="-2"/>
          <w:sz w:val="21"/>
        </w:rPr>
        <w:t>须提供明确的病理活检及自身抗体免疫血清学证据支持。</w:t>
      </w:r>
      <w:r>
        <w:rPr>
          <w:b/>
          <w:spacing w:val="-2"/>
          <w:sz w:val="21"/>
        </w:rPr>
        <w:t>以下情况不在保障范围内：</w:t>
      </w:r>
    </w:p>
    <w:p>
      <w:pPr>
        <w:pStyle w:val="ListParagraph"/>
        <w:numPr>
          <w:ilvl w:val="0"/>
          <w:numId w:val="80"/>
        </w:numPr>
        <w:tabs>
          <w:tab w:pos="767" w:val="left" w:leader="none"/>
        </w:tabs>
        <w:spacing w:line="269" w:lineRule="exact" w:before="0" w:after="0"/>
        <w:ind w:left="767" w:right="0" w:hanging="529"/>
        <w:jc w:val="left"/>
        <w:rPr>
          <w:b/>
          <w:sz w:val="21"/>
        </w:rPr>
      </w:pPr>
      <w:r>
        <w:rPr>
          <w:b/>
          <w:spacing w:val="-2"/>
          <w:sz w:val="21"/>
        </w:rPr>
        <w:t>局限性硬皮病（带状硬皮病或斑状损害</w:t>
      </w:r>
      <w:r>
        <w:rPr>
          <w:b/>
          <w:spacing w:val="-111"/>
          <w:sz w:val="21"/>
        </w:rPr>
        <w:t>）</w:t>
      </w:r>
      <w:r>
        <w:rPr>
          <w:b/>
          <w:spacing w:val="-5"/>
          <w:sz w:val="21"/>
        </w:rPr>
        <w:t>；</w:t>
      </w:r>
    </w:p>
    <w:p>
      <w:pPr>
        <w:pStyle w:val="ListParagraph"/>
        <w:numPr>
          <w:ilvl w:val="0"/>
          <w:numId w:val="80"/>
        </w:numPr>
        <w:tabs>
          <w:tab w:pos="767" w:val="left" w:leader="none"/>
        </w:tabs>
        <w:spacing w:line="240" w:lineRule="auto" w:before="43" w:after="0"/>
        <w:ind w:left="767" w:right="0" w:hanging="529"/>
        <w:jc w:val="left"/>
        <w:rPr>
          <w:b/>
          <w:sz w:val="21"/>
        </w:rPr>
      </w:pPr>
      <w:r>
        <w:rPr>
          <w:b/>
          <w:spacing w:val="-2"/>
          <w:sz w:val="21"/>
        </w:rPr>
        <w:t>嗜酸性筋膜炎；</w:t>
      </w:r>
    </w:p>
    <w:p>
      <w:pPr>
        <w:pStyle w:val="ListParagraph"/>
        <w:numPr>
          <w:ilvl w:val="0"/>
          <w:numId w:val="80"/>
        </w:numPr>
        <w:tabs>
          <w:tab w:pos="767" w:val="left" w:leader="none"/>
        </w:tabs>
        <w:spacing w:line="278" w:lineRule="auto" w:before="43" w:after="0"/>
        <w:ind w:left="238" w:right="7756" w:firstLine="0"/>
        <w:jc w:val="left"/>
        <w:rPr>
          <w:b/>
          <w:sz w:val="21"/>
        </w:rPr>
      </w:pPr>
      <w:r>
        <w:rPr>
          <w:b/>
          <w:sz w:val="21"/>
        </w:rPr>
        <w:t>CREST</w:t>
      </w:r>
      <w:r>
        <w:rPr>
          <w:b/>
          <w:spacing w:val="-10"/>
          <w:sz w:val="21"/>
        </w:rPr>
        <w:t> 综合征。</w:t>
      </w:r>
      <w:r>
        <w:rPr>
          <w:b/>
          <w:spacing w:val="-2"/>
          <w:sz w:val="21"/>
        </w:rPr>
        <w:t>六、中度慢性呼吸衰竭</w:t>
      </w:r>
    </w:p>
    <w:p>
      <w:pPr>
        <w:pStyle w:val="BodyText"/>
        <w:spacing w:line="278" w:lineRule="auto"/>
        <w:ind w:right="1549"/>
      </w:pPr>
      <w:r>
        <w:rPr>
          <w:spacing w:val="-4"/>
        </w:rPr>
        <w:t>指因慢性呼吸系统疾病导致永久不可逆的呼吸衰竭，但未达到本合同重大疾病“严重慢性呼</w:t>
      </w:r>
      <w:r>
        <w:rPr>
          <w:spacing w:val="-2"/>
        </w:rPr>
        <w:t>吸衰竭”的标准，且诊断必须满足以下所有条件：</w:t>
      </w:r>
    </w:p>
    <w:p>
      <w:pPr>
        <w:pStyle w:val="ListParagraph"/>
        <w:numPr>
          <w:ilvl w:val="0"/>
          <w:numId w:val="81"/>
        </w:numPr>
        <w:tabs>
          <w:tab w:pos="767" w:val="left" w:leader="none"/>
        </w:tabs>
        <w:spacing w:line="268" w:lineRule="exact" w:before="0" w:after="0"/>
        <w:ind w:left="767" w:right="0" w:hanging="529"/>
        <w:jc w:val="left"/>
        <w:rPr>
          <w:sz w:val="21"/>
        </w:rPr>
      </w:pPr>
      <w:r>
        <w:rPr>
          <w:spacing w:val="-2"/>
          <w:position w:val="1"/>
          <w:sz w:val="21"/>
        </w:rPr>
        <w:t>肺功能第一秒用力呼气容积（FEV</w:t>
      </w:r>
      <w:r>
        <w:rPr>
          <w:spacing w:val="-2"/>
          <w:sz w:val="11"/>
        </w:rPr>
        <w:t>1</w:t>
      </w:r>
      <w:r>
        <w:rPr>
          <w:spacing w:val="-2"/>
          <w:position w:val="1"/>
          <w:sz w:val="21"/>
        </w:rPr>
        <w:t>）</w:t>
      </w:r>
      <w:r>
        <w:rPr>
          <w:spacing w:val="-18"/>
          <w:position w:val="1"/>
          <w:sz w:val="21"/>
        </w:rPr>
        <w:t>小于 </w:t>
      </w:r>
      <w:r>
        <w:rPr>
          <w:spacing w:val="-2"/>
          <w:position w:val="1"/>
          <w:sz w:val="21"/>
        </w:rPr>
        <w:t>1</w:t>
      </w:r>
      <w:r>
        <w:rPr>
          <w:spacing w:val="-20"/>
          <w:position w:val="1"/>
          <w:sz w:val="21"/>
        </w:rPr>
        <w:t> 升；</w:t>
      </w:r>
    </w:p>
    <w:p>
      <w:pPr>
        <w:pStyle w:val="ListParagraph"/>
        <w:numPr>
          <w:ilvl w:val="0"/>
          <w:numId w:val="81"/>
        </w:numPr>
        <w:tabs>
          <w:tab w:pos="767" w:val="left" w:leader="none"/>
        </w:tabs>
        <w:spacing w:line="240" w:lineRule="auto" w:before="43" w:after="0"/>
        <w:ind w:left="767" w:right="0" w:hanging="529"/>
        <w:jc w:val="left"/>
        <w:rPr>
          <w:sz w:val="21"/>
        </w:rPr>
      </w:pPr>
      <w:r>
        <w:rPr>
          <w:spacing w:val="-2"/>
          <w:sz w:val="21"/>
        </w:rPr>
        <w:t>残气容积占肺总量（TLC）</w:t>
      </w:r>
      <w:r>
        <w:rPr>
          <w:spacing w:val="-22"/>
          <w:sz w:val="21"/>
        </w:rPr>
        <w:t>的 </w:t>
      </w:r>
      <w:r>
        <w:rPr>
          <w:spacing w:val="-2"/>
          <w:sz w:val="21"/>
        </w:rPr>
        <w:t>50</w:t>
      </w:r>
      <w:r>
        <w:rPr>
          <w:spacing w:val="-4"/>
          <w:sz w:val="21"/>
        </w:rPr>
        <w:t>%以上；</w:t>
      </w:r>
    </w:p>
    <w:p>
      <w:pPr>
        <w:pStyle w:val="ListParagraph"/>
        <w:numPr>
          <w:ilvl w:val="0"/>
          <w:numId w:val="81"/>
        </w:numPr>
        <w:tabs>
          <w:tab w:pos="767" w:val="left" w:leader="none"/>
        </w:tabs>
        <w:spacing w:line="278" w:lineRule="auto" w:before="43" w:after="0"/>
        <w:ind w:left="238" w:right="2038" w:firstLine="0"/>
        <w:jc w:val="left"/>
        <w:rPr>
          <w:b/>
          <w:sz w:val="21"/>
        </w:rPr>
      </w:pPr>
      <w:r>
        <w:rPr>
          <w:spacing w:val="-2"/>
          <w:position w:val="1"/>
          <w:sz w:val="21"/>
        </w:rPr>
        <w:t>在静息状态、呼吸空气条件下，动脉血氧分压（PaO</w:t>
      </w:r>
      <w:r>
        <w:rPr>
          <w:spacing w:val="-2"/>
          <w:sz w:val="11"/>
        </w:rPr>
        <w:t>2</w:t>
      </w:r>
      <w:r>
        <w:rPr>
          <w:spacing w:val="-2"/>
          <w:position w:val="1"/>
          <w:sz w:val="21"/>
        </w:rPr>
        <w:t>）＜60mmHg，但≥50mmHg。</w:t>
      </w:r>
      <w:r>
        <w:rPr>
          <w:b/>
          <w:spacing w:val="-2"/>
          <w:sz w:val="21"/>
        </w:rPr>
        <w:t>七、冠状动脉介入手术</w:t>
      </w:r>
    </w:p>
    <w:p>
      <w:pPr>
        <w:pStyle w:val="BodyText"/>
        <w:spacing w:line="278" w:lineRule="auto"/>
        <w:ind w:right="1549"/>
      </w:pPr>
      <w:r>
        <w:rPr>
          <w:spacing w:val="-4"/>
        </w:rPr>
        <w:t>为了治疗明显的冠状动脉狭窄性疾病，首次实际实施了冠状动脉球囊扩张成形术、冠状动脉</w:t>
      </w:r>
      <w:r>
        <w:rPr>
          <w:spacing w:val="-2"/>
        </w:rPr>
        <w:t>支架植入术、冠状动脉粥肿斑块切除术或者激光冠状动脉成形术。</w:t>
      </w:r>
    </w:p>
    <w:p>
      <w:pPr>
        <w:pStyle w:val="Heading5"/>
        <w:spacing w:line="278" w:lineRule="auto"/>
        <w:ind w:right="1446"/>
      </w:pPr>
      <w:r>
        <w:rPr>
          <w:spacing w:val="-17"/>
        </w:rPr>
        <w:t>本公司对“冠状动脉介入手术”、“较轻急性心肌梗死”和“激光心肌血运重建术”三项中</w:t>
      </w:r>
      <w:r>
        <w:rPr>
          <w:spacing w:val="40"/>
        </w:rPr>
        <w:t> </w:t>
      </w:r>
      <w:r>
        <w:rPr>
          <w:spacing w:val="-2"/>
        </w:rPr>
        <w:t>的其中一项承担保险责任，给付其中一项保险金后，对其他项轻症疾病保险责任同时终止。</w:t>
      </w:r>
      <w:r>
        <w:rPr>
          <w:spacing w:val="-2"/>
        </w:rPr>
        <w:t>八、激光心肌血运重建术</w:t>
      </w:r>
    </w:p>
    <w:p>
      <w:pPr>
        <w:pStyle w:val="BodyText"/>
        <w:spacing w:line="278" w:lineRule="auto"/>
        <w:ind w:right="1549"/>
        <w:jc w:val="both"/>
      </w:pPr>
      <w:r>
        <w:rPr>
          <w:spacing w:val="-4"/>
        </w:rPr>
        <w:t>指患有顽固性心绞痛，经持续药物治疗后无改善，冠状动脉搭桥手术及经皮血管成形手术已</w:t>
      </w:r>
      <w:r>
        <w:rPr>
          <w:spacing w:val="-11"/>
        </w:rPr>
        <w:t>失败或者被认为不适合。在本公司认可医院内实际进行了开胸手术下或者胸腔镜下的激光心</w:t>
      </w:r>
      <w:r>
        <w:rPr>
          <w:spacing w:val="-2"/>
        </w:rPr>
        <w:t>肌血运重建术。</w:t>
      </w:r>
    </w:p>
    <w:p>
      <w:pPr>
        <w:pStyle w:val="Heading5"/>
        <w:spacing w:line="278" w:lineRule="auto"/>
        <w:ind w:right="1445"/>
      </w:pPr>
      <w:r>
        <w:rPr>
          <w:spacing w:val="-14"/>
          <w:w w:val="100"/>
        </w:rPr>
        <w:t>本公司对“冠状动脉介入手术”、“较轻急性心肌梗死”和“激光心肌血运重建术”三项中</w:t>
      </w:r>
      <w:r>
        <w:rPr>
          <w:spacing w:val="-12"/>
          <w:w w:val="100"/>
        </w:rPr>
        <w:t>的其中一项承担保险责任，给付其中一项保险金后，对其他项轻症疾病保险责任同时终止。</w:t>
      </w:r>
      <w:r>
        <w:rPr>
          <w:spacing w:val="-2"/>
          <w:w w:val="100"/>
        </w:rPr>
        <w:t>九、慢性肾功能损害——肾功能衰竭期</w:t>
      </w:r>
    </w:p>
    <w:p>
      <w:pPr>
        <w:pStyle w:val="BodyText"/>
        <w:spacing w:line="278" w:lineRule="auto"/>
        <w:ind w:right="1549"/>
      </w:pPr>
      <w:r>
        <w:rPr>
          <w:spacing w:val="-4"/>
        </w:rPr>
        <w:t>指被保险人因双肾功能慢性不可逆性损害达到肾功能衰竭期，但未达到本合同重大疾病“严</w:t>
      </w:r>
      <w:r>
        <w:rPr>
          <w:spacing w:val="-2"/>
        </w:rPr>
        <w:t>重慢性肾衰竭”的给付标准。诊断必须满足以下所有标准。</w:t>
      </w:r>
    </w:p>
    <w:p>
      <w:pPr>
        <w:pStyle w:val="ListParagraph"/>
        <w:numPr>
          <w:ilvl w:val="0"/>
          <w:numId w:val="82"/>
        </w:numPr>
        <w:tabs>
          <w:tab w:pos="767" w:val="left" w:leader="none"/>
        </w:tabs>
        <w:spacing w:line="240" w:lineRule="auto" w:before="0" w:after="0"/>
        <w:ind w:left="767" w:right="0" w:hanging="529"/>
        <w:jc w:val="left"/>
        <w:rPr>
          <w:sz w:val="21"/>
        </w:rPr>
      </w:pPr>
      <w:r>
        <w:rPr>
          <w:sz w:val="21"/>
        </w:rPr>
        <w:t>肾小球滤过率（GFR）＜</w:t>
      </w:r>
      <w:r>
        <w:rPr>
          <w:spacing w:val="-13"/>
          <w:sz w:val="21"/>
        </w:rPr>
        <w:t> </w:t>
      </w:r>
      <w:r>
        <w:rPr>
          <w:sz w:val="21"/>
        </w:rPr>
        <w:t>25ml/min</w:t>
      </w:r>
      <w:r>
        <w:rPr>
          <w:spacing w:val="-3"/>
          <w:sz w:val="21"/>
        </w:rPr>
        <w:t> 或肌酐清除率</w:t>
      </w:r>
      <w:r>
        <w:rPr>
          <w:sz w:val="21"/>
        </w:rPr>
        <w:t>（Ccr）＜</w:t>
      </w:r>
      <w:r>
        <w:rPr>
          <w:spacing w:val="-11"/>
          <w:sz w:val="21"/>
        </w:rPr>
        <w:t> </w:t>
      </w:r>
      <w:r>
        <w:rPr>
          <w:spacing w:val="-2"/>
          <w:sz w:val="21"/>
        </w:rPr>
        <w:t>25ml/min；</w:t>
      </w:r>
    </w:p>
    <w:p>
      <w:pPr>
        <w:pStyle w:val="ListParagraph"/>
        <w:numPr>
          <w:ilvl w:val="0"/>
          <w:numId w:val="82"/>
        </w:numPr>
        <w:tabs>
          <w:tab w:pos="767" w:val="left" w:leader="none"/>
        </w:tabs>
        <w:spacing w:line="240" w:lineRule="auto" w:before="42" w:after="0"/>
        <w:ind w:left="767" w:right="0" w:hanging="529"/>
        <w:jc w:val="left"/>
        <w:rPr>
          <w:sz w:val="21"/>
        </w:rPr>
      </w:pPr>
      <w:r>
        <w:rPr>
          <w:spacing w:val="-2"/>
          <w:sz w:val="21"/>
        </w:rPr>
        <w:t>血肌酐（Scr）＞5mg/dl</w:t>
      </w:r>
      <w:r>
        <w:rPr>
          <w:spacing w:val="-21"/>
          <w:sz w:val="21"/>
        </w:rPr>
        <w:t> 或</w:t>
      </w:r>
      <w:r>
        <w:rPr>
          <w:spacing w:val="-2"/>
          <w:sz w:val="21"/>
        </w:rPr>
        <w:t>＞442</w:t>
      </w:r>
      <w:r>
        <w:rPr>
          <w:rFonts w:ascii="Times New Roman" w:hAnsi="Times New Roman" w:eastAsia="Times New Roman"/>
          <w:spacing w:val="-2"/>
          <w:sz w:val="21"/>
        </w:rPr>
        <w:t>μmol/L</w:t>
      </w:r>
      <w:r>
        <w:rPr>
          <w:spacing w:val="-2"/>
          <w:sz w:val="21"/>
        </w:rPr>
        <w:t>；</w:t>
      </w:r>
    </w:p>
    <w:p>
      <w:pPr>
        <w:pStyle w:val="ListParagraph"/>
        <w:numPr>
          <w:ilvl w:val="0"/>
          <w:numId w:val="82"/>
        </w:numPr>
        <w:tabs>
          <w:tab w:pos="767" w:val="left" w:leader="none"/>
        </w:tabs>
        <w:spacing w:line="240" w:lineRule="auto" w:before="43" w:after="0"/>
        <w:ind w:left="767" w:right="0" w:hanging="529"/>
        <w:jc w:val="left"/>
        <w:rPr>
          <w:sz w:val="21"/>
        </w:rPr>
      </w:pPr>
      <w:r>
        <w:rPr>
          <w:spacing w:val="-19"/>
          <w:sz w:val="21"/>
        </w:rPr>
        <w:t>持续 </w:t>
      </w:r>
      <w:r>
        <w:rPr>
          <w:sz w:val="21"/>
        </w:rPr>
        <w:t>180</w:t>
      </w:r>
      <w:r>
        <w:rPr>
          <w:spacing w:val="-22"/>
          <w:sz w:val="21"/>
        </w:rPr>
        <w:t> 天。</w:t>
      </w:r>
    </w:p>
    <w:p>
      <w:pPr>
        <w:pStyle w:val="Heading5"/>
        <w:spacing w:line="278" w:lineRule="auto" w:before="43"/>
        <w:ind w:right="2698"/>
      </w:pPr>
      <w:r>
        <w:rPr>
          <w:spacing w:val="-2"/>
        </w:rPr>
        <w:t>因系统性红斑狼疮所致慢性肾功能损害——肾功能衰竭期不在保障范围之内。</w:t>
      </w:r>
      <w:r>
        <w:rPr>
          <w:spacing w:val="-2"/>
        </w:rPr>
        <w:t>十、肾脏切除</w:t>
      </w:r>
    </w:p>
    <w:p>
      <w:pPr>
        <w:pStyle w:val="BodyText"/>
        <w:spacing w:line="269" w:lineRule="exact"/>
      </w:pPr>
      <w:r>
        <w:rPr>
          <w:spacing w:val="-3"/>
        </w:rPr>
        <w:t>指因疾病或意外伤害导致肾脏严重损害，已经实施了至少单侧全肾的切除手术。</w:t>
      </w:r>
    </w:p>
    <w:p>
      <w:pPr>
        <w:spacing w:after="0" w:line="269" w:lineRule="exact"/>
        <w:sectPr>
          <w:pgSz w:w="11910" w:h="16840"/>
          <w:pgMar w:header="0" w:footer="1005" w:top="1400" w:bottom="1200" w:left="1560" w:right="240"/>
        </w:sectPr>
      </w:pPr>
    </w:p>
    <w:p>
      <w:pPr>
        <w:spacing w:before="44"/>
        <w:ind w:left="238" w:right="0" w:firstLine="0"/>
        <w:jc w:val="left"/>
        <w:rPr>
          <w:b/>
          <w:sz w:val="21"/>
        </w:rPr>
      </w:pPr>
      <w:r>
        <w:rPr>
          <w:b/>
          <w:spacing w:val="-3"/>
          <w:sz w:val="21"/>
        </w:rPr>
        <w:t>下列情况不在保障范围内：</w:t>
      </w:r>
    </w:p>
    <w:p>
      <w:pPr>
        <w:pStyle w:val="ListParagraph"/>
        <w:numPr>
          <w:ilvl w:val="0"/>
          <w:numId w:val="83"/>
        </w:numPr>
        <w:tabs>
          <w:tab w:pos="767" w:val="left" w:leader="none"/>
        </w:tabs>
        <w:spacing w:line="240" w:lineRule="auto" w:before="43" w:after="0"/>
        <w:ind w:left="767" w:right="0" w:hanging="529"/>
        <w:jc w:val="left"/>
        <w:rPr>
          <w:b/>
          <w:sz w:val="21"/>
        </w:rPr>
      </w:pPr>
      <w:r>
        <w:rPr>
          <w:b/>
          <w:spacing w:val="-2"/>
          <w:sz w:val="21"/>
        </w:rPr>
        <w:t>部分肾切除手术；</w:t>
      </w:r>
    </w:p>
    <w:p>
      <w:pPr>
        <w:pStyle w:val="ListParagraph"/>
        <w:numPr>
          <w:ilvl w:val="0"/>
          <w:numId w:val="83"/>
        </w:numPr>
        <w:tabs>
          <w:tab w:pos="767" w:val="left" w:leader="none"/>
        </w:tabs>
        <w:spacing w:line="240" w:lineRule="auto" w:before="43" w:after="0"/>
        <w:ind w:left="767" w:right="0" w:hanging="529"/>
        <w:jc w:val="left"/>
        <w:rPr>
          <w:b/>
          <w:sz w:val="21"/>
        </w:rPr>
      </w:pPr>
      <w:r>
        <w:rPr>
          <w:b/>
          <w:spacing w:val="-3"/>
          <w:sz w:val="21"/>
        </w:rPr>
        <w:t>因恶性肿瘤进行的肾切除手术；</w:t>
      </w:r>
    </w:p>
    <w:p>
      <w:pPr>
        <w:pStyle w:val="ListParagraph"/>
        <w:numPr>
          <w:ilvl w:val="0"/>
          <w:numId w:val="83"/>
        </w:numPr>
        <w:tabs>
          <w:tab w:pos="767" w:val="left" w:leader="none"/>
        </w:tabs>
        <w:spacing w:line="278" w:lineRule="auto" w:before="43" w:after="0"/>
        <w:ind w:left="238" w:right="5752" w:firstLine="0"/>
        <w:jc w:val="left"/>
        <w:rPr>
          <w:b/>
          <w:sz w:val="21"/>
        </w:rPr>
      </w:pPr>
      <w:r>
        <w:rPr>
          <w:b/>
          <w:spacing w:val="-2"/>
          <w:sz w:val="21"/>
        </w:rPr>
        <w:t>作为器官捐献者而实施的肾切除手术。</w:t>
      </w:r>
      <w:r>
        <w:rPr>
          <w:b/>
          <w:spacing w:val="-2"/>
          <w:sz w:val="21"/>
        </w:rPr>
        <w:t>十一、病毒性肝炎导致的肝硬化</w:t>
      </w:r>
    </w:p>
    <w:p>
      <w:pPr>
        <w:pStyle w:val="BodyText"/>
        <w:spacing w:line="278" w:lineRule="auto"/>
        <w:ind w:right="1549"/>
      </w:pPr>
      <w:r>
        <w:rPr>
          <w:spacing w:val="-9"/>
        </w:rPr>
        <w:t>因肝炎病毒感染的肝脏慢性炎症并发展为肝硬化。理赔时须满足下列全部条件：</w:t>
      </w:r>
      <w:r>
        <w:rPr>
          <w:spacing w:val="33"/>
        </w:rPr>
        <w:t>（</w:t>
      </w:r>
      <w:r>
        <w:rPr>
          <w:spacing w:val="36"/>
        </w:rPr>
        <w:t>1</w:t>
      </w:r>
      <w:r>
        <w:rPr>
          <w:spacing w:val="4"/>
        </w:rPr>
        <w:t>）</w:t>
      </w:r>
      <w:r>
        <w:rPr>
          <w:spacing w:val="-6"/>
        </w:rPr>
        <w:t>被保险</w:t>
      </w:r>
      <w:r>
        <w:rPr>
          <w:spacing w:val="-10"/>
        </w:rPr>
        <w:t>人有感染慢性肝炎病毒的血清学及实验室检查报告等临床证据；</w:t>
      </w:r>
      <w:r>
        <w:rPr>
          <w:spacing w:val="43"/>
        </w:rPr>
        <w:t>（</w:t>
      </w:r>
      <w:r>
        <w:rPr>
          <w:spacing w:val="40"/>
        </w:rPr>
        <w:t>2</w:t>
      </w:r>
      <w:r>
        <w:rPr>
          <w:spacing w:val="-1"/>
        </w:rPr>
        <w:t>）</w:t>
      </w:r>
      <w:r>
        <w:rPr>
          <w:spacing w:val="-6"/>
        </w:rPr>
        <w:t>必须由本公司认可医院</w:t>
      </w:r>
      <w:r>
        <w:rPr>
          <w:spacing w:val="-7"/>
        </w:rPr>
        <w:t>的消化科专科医生基于肝脏组织病理学检查报告、临床表现及病史对肝炎病毒感染导致肝硬</w:t>
      </w:r>
      <w:r>
        <w:rPr>
          <w:spacing w:val="-10"/>
        </w:rPr>
        <w:t>化作出明确诊断；</w:t>
      </w:r>
      <w:r>
        <w:rPr>
          <w:spacing w:val="26"/>
        </w:rPr>
        <w:t>（</w:t>
      </w:r>
      <w:r>
        <w:rPr>
          <w:spacing w:val="24"/>
        </w:rPr>
        <w:t>3</w:t>
      </w:r>
      <w:r>
        <w:rPr>
          <w:spacing w:val="27"/>
        </w:rPr>
        <w:t>）</w:t>
      </w:r>
      <w:r>
        <w:rPr>
          <w:spacing w:val="-3"/>
        </w:rPr>
        <w:t>病理学检查报告证明肝脏病变按 </w:t>
      </w:r>
      <w:r>
        <w:rPr/>
        <w:t>Metavir</w:t>
      </w:r>
      <w:r>
        <w:rPr>
          <w:spacing w:val="-14"/>
        </w:rPr>
        <w:t> 分级表中属 </w:t>
      </w:r>
      <w:r>
        <w:rPr/>
        <w:t>F4</w:t>
      </w:r>
      <w:r>
        <w:rPr>
          <w:spacing w:val="-9"/>
        </w:rPr>
        <w:t> 阶段或想</w:t>
      </w:r>
      <w:r>
        <w:rPr/>
        <w:t> Knodell</w:t>
      </w:r>
      <w:r>
        <w:rPr>
          <w:spacing w:val="-5"/>
        </w:rPr>
        <w:t> 肝纤维化标准达到 </w:t>
      </w:r>
      <w:r>
        <w:rPr/>
        <w:t>4</w:t>
      </w:r>
      <w:r>
        <w:rPr>
          <w:spacing w:val="-6"/>
        </w:rPr>
        <w:t> 分。</w:t>
      </w:r>
    </w:p>
    <w:p>
      <w:pPr>
        <w:spacing w:line="268" w:lineRule="exact" w:before="0"/>
        <w:ind w:left="238" w:right="0" w:firstLine="0"/>
        <w:jc w:val="left"/>
        <w:rPr>
          <w:b/>
          <w:sz w:val="21"/>
        </w:rPr>
      </w:pPr>
      <w:r>
        <w:rPr>
          <w:b/>
          <w:spacing w:val="-3"/>
          <w:sz w:val="21"/>
        </w:rPr>
        <w:t>因酗酒或药物滥用导致的病毒性肝炎导致的肝硬化不在保障范围内。</w:t>
      </w:r>
    </w:p>
    <w:p>
      <w:pPr>
        <w:spacing w:line="278" w:lineRule="auto" w:before="43"/>
        <w:ind w:left="238" w:right="1446" w:firstLine="0"/>
        <w:jc w:val="left"/>
        <w:rPr>
          <w:b/>
          <w:sz w:val="21"/>
        </w:rPr>
      </w:pPr>
      <w:r>
        <w:rPr>
          <w:b/>
          <w:spacing w:val="-2"/>
          <w:sz w:val="21"/>
        </w:rPr>
        <w:t>本公司对“病毒性肝炎导致的肝硬化”和“早期肝硬化”两项中的其中一项承担保险责任，</w:t>
      </w:r>
      <w:r>
        <w:rPr>
          <w:b/>
          <w:spacing w:val="-2"/>
          <w:sz w:val="21"/>
        </w:rPr>
        <w:t>给付其中一项保险金后，对另一项轻症疾病保险责任同时终止。</w:t>
      </w:r>
    </w:p>
    <w:p>
      <w:pPr>
        <w:spacing w:before="0"/>
        <w:ind w:left="238" w:right="0" w:firstLine="0"/>
        <w:jc w:val="left"/>
        <w:rPr>
          <w:b/>
          <w:sz w:val="21"/>
        </w:rPr>
      </w:pPr>
      <w:r>
        <w:rPr>
          <w:b/>
          <w:spacing w:val="-3"/>
          <w:sz w:val="21"/>
        </w:rPr>
        <w:t>十二、脑垂体瘤、脑囊肿、脑动脉瘤及脑血管瘤</w:t>
      </w:r>
    </w:p>
    <w:p>
      <w:pPr>
        <w:pStyle w:val="BodyText"/>
        <w:spacing w:line="278" w:lineRule="auto" w:before="43"/>
        <w:ind w:right="1549"/>
      </w:pPr>
      <w:r>
        <w:rPr>
          <w:spacing w:val="-6"/>
        </w:rPr>
        <w:t>指经头颅断层扫描</w:t>
      </w:r>
      <w:r>
        <w:rPr>
          <w:spacing w:val="20"/>
        </w:rPr>
        <w:t>（</w:t>
      </w:r>
      <w:r>
        <w:rPr>
          <w:spacing w:val="21"/>
        </w:rPr>
        <w:t>C</w:t>
      </w:r>
      <w:r>
        <w:rPr>
          <w:spacing w:val="18"/>
        </w:rPr>
        <w:t>T</w:t>
      </w:r>
      <w:r>
        <w:rPr>
          <w:spacing w:val="-85"/>
        </w:rPr>
        <w:t>）</w:t>
      </w:r>
      <w:r>
        <w:rPr>
          <w:spacing w:val="-6"/>
        </w:rPr>
        <w:t>、核磁共振检查（MRI）或者其他影像学检查被确诊为下列病变，并</w:t>
      </w:r>
      <w:r>
        <w:rPr>
          <w:spacing w:val="-2"/>
        </w:rPr>
        <w:t>实际接受了手术或者放射治疗，但未达到本合同重大疾病“颅脑手术”的给付标准。</w:t>
      </w:r>
    </w:p>
    <w:p>
      <w:pPr>
        <w:pStyle w:val="ListParagraph"/>
        <w:numPr>
          <w:ilvl w:val="0"/>
          <w:numId w:val="84"/>
        </w:numPr>
        <w:tabs>
          <w:tab w:pos="767" w:val="left" w:leader="none"/>
        </w:tabs>
        <w:spacing w:line="269" w:lineRule="exact" w:before="0" w:after="0"/>
        <w:ind w:left="767" w:right="0" w:hanging="529"/>
        <w:jc w:val="left"/>
        <w:rPr>
          <w:sz w:val="21"/>
        </w:rPr>
      </w:pPr>
      <w:r>
        <w:rPr>
          <w:spacing w:val="-4"/>
          <w:sz w:val="21"/>
        </w:rPr>
        <w:t>脑垂体瘤；</w:t>
      </w:r>
    </w:p>
    <w:p>
      <w:pPr>
        <w:pStyle w:val="ListParagraph"/>
        <w:numPr>
          <w:ilvl w:val="0"/>
          <w:numId w:val="84"/>
        </w:numPr>
        <w:tabs>
          <w:tab w:pos="767" w:val="left" w:leader="none"/>
        </w:tabs>
        <w:spacing w:line="240" w:lineRule="auto" w:before="43" w:after="0"/>
        <w:ind w:left="767" w:right="0" w:hanging="529"/>
        <w:jc w:val="left"/>
        <w:rPr>
          <w:sz w:val="21"/>
        </w:rPr>
      </w:pPr>
      <w:r>
        <w:rPr>
          <w:spacing w:val="-4"/>
          <w:sz w:val="21"/>
        </w:rPr>
        <w:t>脑囊肿；</w:t>
      </w:r>
    </w:p>
    <w:p>
      <w:pPr>
        <w:pStyle w:val="ListParagraph"/>
        <w:numPr>
          <w:ilvl w:val="0"/>
          <w:numId w:val="84"/>
        </w:numPr>
        <w:tabs>
          <w:tab w:pos="767" w:val="left" w:leader="none"/>
        </w:tabs>
        <w:spacing w:line="240" w:lineRule="auto" w:before="43" w:after="0"/>
        <w:ind w:left="767" w:right="0" w:hanging="529"/>
        <w:jc w:val="left"/>
        <w:rPr>
          <w:sz w:val="21"/>
        </w:rPr>
      </w:pPr>
      <w:r>
        <w:rPr>
          <w:spacing w:val="-3"/>
          <w:sz w:val="21"/>
        </w:rPr>
        <w:t>脑动脉瘤、脑血管瘤。</w:t>
      </w:r>
    </w:p>
    <w:p>
      <w:pPr>
        <w:pStyle w:val="Heading5"/>
        <w:spacing w:line="278" w:lineRule="auto" w:before="43"/>
        <w:ind w:right="1643"/>
      </w:pPr>
      <w:r>
        <w:rPr>
          <w:spacing w:val="-2"/>
        </w:rPr>
        <w:t>本公司对“微创颅脑手术”和“脑垂体瘤、脑囊肿、脑动脉瘤及脑血管瘤”两项中的其中</w:t>
      </w:r>
      <w:r>
        <w:rPr>
          <w:spacing w:val="-2"/>
        </w:rPr>
        <w:t>一项承担保险责任，给付其中一项保险金后，对另一项轻症疾病保险责任同时终止。</w:t>
      </w:r>
    </w:p>
    <w:p>
      <w:pPr>
        <w:spacing w:line="269" w:lineRule="exact" w:before="0"/>
        <w:ind w:left="238" w:right="0" w:firstLine="0"/>
        <w:jc w:val="left"/>
        <w:rPr>
          <w:b/>
          <w:sz w:val="21"/>
        </w:rPr>
      </w:pPr>
      <w:r>
        <w:rPr>
          <w:b/>
          <w:spacing w:val="-3"/>
          <w:sz w:val="21"/>
        </w:rPr>
        <w:t>十三、出血性登革热</w:t>
      </w:r>
    </w:p>
    <w:p>
      <w:pPr>
        <w:pStyle w:val="BodyText"/>
        <w:spacing w:line="278" w:lineRule="auto" w:before="43"/>
        <w:ind w:right="1565"/>
        <w:jc w:val="both"/>
      </w:pPr>
      <w:r>
        <w:rPr>
          <w:spacing w:val="-2"/>
        </w:rPr>
        <w:t>出血性登革热须出现全部四种症状,包括发高烧、出血现象、肝肿大和循环衰竭（登革热休</w:t>
      </w:r>
      <w:r>
        <w:rPr>
          <w:spacing w:val="-2"/>
        </w:rPr>
        <w:t>克综合征即符合 </w:t>
      </w:r>
      <w:r>
        <w:rPr/>
        <w:t>WHO</w:t>
      </w:r>
      <w:r>
        <w:rPr>
          <w:spacing w:val="-4"/>
        </w:rPr>
        <w:t> 登革热第Ⅲ级及第Ⅳ级</w:t>
      </w:r>
      <w:r>
        <w:rPr/>
        <w:t>）。出血性登革热的诊断必须由本公司认可医</w:t>
      </w:r>
      <w:r>
        <w:rPr>
          <w:spacing w:val="-2"/>
        </w:rPr>
        <w:t>院的专科医生证实。</w:t>
      </w:r>
    </w:p>
    <w:p>
      <w:pPr>
        <w:pStyle w:val="Heading5"/>
        <w:spacing w:line="278" w:lineRule="auto"/>
        <w:ind w:right="6702"/>
      </w:pPr>
      <w:r>
        <w:rPr>
          <w:spacing w:val="-2"/>
        </w:rPr>
        <w:t>非出血性登革热不在保障范围内。</w:t>
      </w:r>
      <w:r>
        <w:rPr>
          <w:spacing w:val="-2"/>
        </w:rPr>
        <w:t>十四、单耳失聪</w:t>
      </w:r>
    </w:p>
    <w:p>
      <w:pPr>
        <w:pStyle w:val="BodyText"/>
        <w:spacing w:line="278" w:lineRule="auto"/>
        <w:ind w:right="1549"/>
      </w:pPr>
      <w:r>
        <w:rPr>
          <w:spacing w:val="-4"/>
        </w:rPr>
        <w:t>指因疾病或者意外伤害导致单耳听力永久不可逆性丧失，但未达到本合同重大疾病“双耳失</w:t>
      </w:r>
      <w:r>
        <w:rPr>
          <w:spacing w:val="-6"/>
        </w:rPr>
        <w:t>聪”的给付标准，但满足以下条件：在 </w:t>
      </w:r>
      <w:r>
        <w:rPr>
          <w:spacing w:val="-4"/>
        </w:rPr>
        <w:t>500</w:t>
      </w:r>
      <w:r>
        <w:rPr>
          <w:spacing w:val="-13"/>
        </w:rPr>
        <w:t> 赫兹、</w:t>
      </w:r>
      <w:r>
        <w:rPr>
          <w:spacing w:val="-4"/>
        </w:rPr>
        <w:t>1000</w:t>
      </w:r>
      <w:r>
        <w:rPr>
          <w:spacing w:val="-19"/>
        </w:rPr>
        <w:t> 赫兹和 </w:t>
      </w:r>
      <w:r>
        <w:rPr>
          <w:spacing w:val="-4"/>
        </w:rPr>
        <w:t>2000</w:t>
      </w:r>
      <w:r>
        <w:rPr>
          <w:spacing w:val="-10"/>
        </w:rPr>
        <w:t> 赫兹语音频率下，平均</w:t>
      </w:r>
    </w:p>
    <w:p>
      <w:pPr>
        <w:pStyle w:val="BodyText"/>
        <w:spacing w:line="269" w:lineRule="exact"/>
      </w:pPr>
      <w:r>
        <w:rPr>
          <w:spacing w:val="-8"/>
        </w:rPr>
        <w:t>听阈大于等于 </w:t>
      </w:r>
      <w:r>
        <w:rPr>
          <w:spacing w:val="-2"/>
        </w:rPr>
        <w:t>91</w:t>
      </w:r>
      <w:r>
        <w:rPr>
          <w:spacing w:val="-9"/>
        </w:rPr>
        <w:t> 分贝，且经纯音听力测试、声导抗检测或者听觉诱发电位检测等证实。</w:t>
      </w:r>
    </w:p>
    <w:p>
      <w:pPr>
        <w:spacing w:line="278" w:lineRule="auto" w:before="43"/>
        <w:ind w:left="238" w:right="1640" w:firstLine="0"/>
        <w:jc w:val="left"/>
        <w:rPr>
          <w:b/>
          <w:sz w:val="21"/>
        </w:rPr>
      </w:pPr>
      <w:r>
        <w:rPr>
          <w:b/>
          <w:spacing w:val="-4"/>
          <w:sz w:val="21"/>
        </w:rPr>
        <w:t>被保险人申请理赔时年龄必须在 </w:t>
      </w:r>
      <w:r>
        <w:rPr>
          <w:b/>
          <w:sz w:val="21"/>
        </w:rPr>
        <w:t>3</w:t>
      </w:r>
      <w:r>
        <w:rPr>
          <w:b/>
          <w:spacing w:val="-8"/>
          <w:sz w:val="21"/>
        </w:rPr>
        <w:t> 周岁以上，并且提供理赔当时的视力丧失诊断及检查证</w:t>
      </w:r>
      <w:r>
        <w:rPr>
          <w:b/>
          <w:spacing w:val="-6"/>
          <w:sz w:val="21"/>
        </w:rPr>
        <w:t>据。</w:t>
      </w:r>
    </w:p>
    <w:p>
      <w:pPr>
        <w:spacing w:line="278" w:lineRule="auto" w:before="0"/>
        <w:ind w:left="238" w:right="1643" w:firstLine="0"/>
        <w:jc w:val="left"/>
        <w:rPr>
          <w:b/>
          <w:sz w:val="21"/>
        </w:rPr>
      </w:pPr>
      <w:r>
        <w:rPr>
          <w:b/>
          <w:spacing w:val="-17"/>
          <w:sz w:val="21"/>
        </w:rPr>
        <w:t>本公司对“单耳失聪”、“听力严重受损”和“人工耳蜗植入术”三项中的其中一项承担保</w:t>
      </w:r>
      <w:r>
        <w:rPr>
          <w:b/>
          <w:spacing w:val="-2"/>
          <w:sz w:val="21"/>
        </w:rPr>
        <w:t>险责任，给付其中一项保险金后，对其他两项轻症疾病保险责任同时终止。</w:t>
      </w:r>
    </w:p>
    <w:p>
      <w:pPr>
        <w:spacing w:line="269" w:lineRule="exact" w:before="0"/>
        <w:ind w:left="238" w:right="0" w:firstLine="0"/>
        <w:jc w:val="left"/>
        <w:rPr>
          <w:b/>
          <w:sz w:val="21"/>
        </w:rPr>
      </w:pPr>
      <w:r>
        <w:rPr>
          <w:b/>
          <w:spacing w:val="-3"/>
          <w:sz w:val="21"/>
        </w:rPr>
        <w:t>十五、人工耳蜗植入术</w:t>
      </w:r>
    </w:p>
    <w:p>
      <w:pPr>
        <w:pStyle w:val="BodyText"/>
        <w:spacing w:line="278" w:lineRule="auto" w:before="43"/>
        <w:ind w:right="1549"/>
      </w:pPr>
      <w:r>
        <w:rPr>
          <w:spacing w:val="-6"/>
        </w:rPr>
        <w:t>指由于耳蜗的永久损害而实际实施了人工耳蜗植入手术。诊断须经专科医生确认在医学上是</w:t>
      </w:r>
      <w:r>
        <w:rPr>
          <w:spacing w:val="-2"/>
        </w:rPr>
        <w:t>必要的，且在植入手术之前已经符合下列全部条件：</w:t>
      </w:r>
    </w:p>
    <w:p>
      <w:pPr>
        <w:pStyle w:val="ListParagraph"/>
        <w:numPr>
          <w:ilvl w:val="0"/>
          <w:numId w:val="85"/>
        </w:numPr>
        <w:tabs>
          <w:tab w:pos="767" w:val="left" w:leader="none"/>
        </w:tabs>
        <w:spacing w:line="240" w:lineRule="auto" w:before="0" w:after="0"/>
        <w:ind w:left="767" w:right="0" w:hanging="529"/>
        <w:jc w:val="left"/>
        <w:rPr>
          <w:sz w:val="21"/>
        </w:rPr>
      </w:pPr>
      <w:r>
        <w:rPr>
          <w:spacing w:val="-12"/>
          <w:sz w:val="21"/>
        </w:rPr>
        <w:t>双耳持续 </w:t>
      </w:r>
      <w:r>
        <w:rPr>
          <w:spacing w:val="-2"/>
          <w:sz w:val="21"/>
        </w:rPr>
        <w:t>12</w:t>
      </w:r>
      <w:r>
        <w:rPr>
          <w:spacing w:val="-10"/>
          <w:sz w:val="21"/>
        </w:rPr>
        <w:t> 个月以上重度感音神经性耳聋；</w:t>
      </w:r>
    </w:p>
    <w:p>
      <w:pPr>
        <w:pStyle w:val="ListParagraph"/>
        <w:numPr>
          <w:ilvl w:val="0"/>
          <w:numId w:val="85"/>
        </w:numPr>
        <w:tabs>
          <w:tab w:pos="767" w:val="left" w:leader="none"/>
        </w:tabs>
        <w:spacing w:line="240" w:lineRule="auto" w:before="43" w:after="0"/>
        <w:ind w:left="767" w:right="0" w:hanging="529"/>
        <w:jc w:val="left"/>
        <w:rPr>
          <w:sz w:val="21"/>
        </w:rPr>
      </w:pPr>
      <w:r>
        <w:rPr>
          <w:spacing w:val="-3"/>
          <w:sz w:val="21"/>
        </w:rPr>
        <w:t>使用相应的听力辅助设备效果不佳。</w:t>
      </w:r>
    </w:p>
    <w:p>
      <w:pPr>
        <w:pStyle w:val="Heading5"/>
        <w:spacing w:line="278" w:lineRule="auto" w:before="43"/>
        <w:ind w:right="1643"/>
      </w:pPr>
      <w:r>
        <w:rPr>
          <w:spacing w:val="-17"/>
        </w:rPr>
        <w:t>本公司对“单耳失聪”、“听力严重受损”和“人工耳蜗植入术”三项中的其中一项承担保</w:t>
      </w:r>
      <w:r>
        <w:rPr>
          <w:spacing w:val="-2"/>
        </w:rPr>
        <w:t>险责任，给付其中一项保险金后，对其他两项轻症疾病保险责任同时终止。</w:t>
      </w:r>
    </w:p>
    <w:p>
      <w:pPr>
        <w:spacing w:line="269" w:lineRule="exact" w:before="0"/>
        <w:ind w:left="238" w:right="0" w:firstLine="0"/>
        <w:jc w:val="left"/>
        <w:rPr>
          <w:b/>
          <w:sz w:val="21"/>
        </w:rPr>
      </w:pPr>
      <w:r>
        <w:rPr>
          <w:b/>
          <w:spacing w:val="-2"/>
          <w:sz w:val="21"/>
        </w:rPr>
        <w:t>十六、听力严重受损</w:t>
      </w:r>
    </w:p>
    <w:p>
      <w:pPr>
        <w:spacing w:after="0" w:line="269" w:lineRule="exact"/>
        <w:jc w:val="left"/>
        <w:rPr>
          <w:sz w:val="21"/>
        </w:rPr>
        <w:sectPr>
          <w:pgSz w:w="11910" w:h="16840"/>
          <w:pgMar w:header="0" w:footer="1005" w:top="1400" w:bottom="1200" w:left="1560" w:right="240"/>
        </w:sectPr>
      </w:pPr>
    </w:p>
    <w:p>
      <w:pPr>
        <w:pStyle w:val="BodyText"/>
        <w:spacing w:before="44"/>
      </w:pPr>
      <w:r>
        <w:rPr>
          <w:spacing w:val="-6"/>
        </w:rPr>
        <w:t>指因疾病或意外伤害导致双耳听力永久不可逆性丧失，在 </w:t>
      </w:r>
      <w:r>
        <w:rPr>
          <w:spacing w:val="-4"/>
        </w:rPr>
        <w:t>500</w:t>
      </w:r>
      <w:r>
        <w:rPr>
          <w:spacing w:val="-13"/>
        </w:rPr>
        <w:t> 赫兹、</w:t>
      </w:r>
      <w:r>
        <w:rPr>
          <w:spacing w:val="-4"/>
        </w:rPr>
        <w:t>1000</w:t>
      </w:r>
      <w:r>
        <w:rPr>
          <w:spacing w:val="-18"/>
        </w:rPr>
        <w:t> 赫兹和 </w:t>
      </w:r>
      <w:r>
        <w:rPr>
          <w:spacing w:val="-4"/>
        </w:rPr>
        <w:t>2000</w:t>
      </w:r>
      <w:r>
        <w:rPr>
          <w:spacing w:val="-18"/>
        </w:rPr>
        <w:t> 赫兹</w:t>
      </w:r>
    </w:p>
    <w:p>
      <w:pPr>
        <w:pStyle w:val="BodyText"/>
        <w:spacing w:line="278" w:lineRule="auto" w:before="43"/>
        <w:ind w:right="1553"/>
      </w:pPr>
      <w:r>
        <w:rPr>
          <w:spacing w:val="-7"/>
        </w:rPr>
        <w:t>语音频率下，平均听阈大于 </w:t>
      </w:r>
      <w:r>
        <w:rPr>
          <w:spacing w:val="-4"/>
        </w:rPr>
        <w:t>70</w:t>
      </w:r>
      <w:r>
        <w:rPr>
          <w:spacing w:val="-15"/>
        </w:rPr>
        <w:t> 分贝，但未达到 </w:t>
      </w:r>
      <w:r>
        <w:rPr>
          <w:spacing w:val="-4"/>
        </w:rPr>
        <w:t>91</w:t>
      </w:r>
      <w:r>
        <w:rPr>
          <w:spacing w:val="-11"/>
        </w:rPr>
        <w:t> 分贝，且经纯音听力测试、声导抗检测或</w:t>
      </w:r>
      <w:r>
        <w:rPr>
          <w:spacing w:val="-2"/>
        </w:rPr>
        <w:t>听觉诱发电位检测等证实。</w:t>
      </w:r>
    </w:p>
    <w:p>
      <w:pPr>
        <w:spacing w:line="278" w:lineRule="auto" w:before="0"/>
        <w:ind w:left="238" w:right="1642" w:firstLine="0"/>
        <w:jc w:val="left"/>
        <w:rPr>
          <w:b/>
          <w:sz w:val="21"/>
        </w:rPr>
      </w:pPr>
      <w:r>
        <w:rPr>
          <w:b/>
          <w:spacing w:val="-2"/>
          <w:sz w:val="21"/>
        </w:rPr>
        <w:t>被保险人申请理赔时年龄必须在三周岁以上，并且提供理赔当时的听力丧失诊断及检查证</w:t>
      </w:r>
      <w:r>
        <w:rPr>
          <w:b/>
          <w:spacing w:val="-6"/>
          <w:sz w:val="21"/>
        </w:rPr>
        <w:t>据。</w:t>
      </w:r>
    </w:p>
    <w:p>
      <w:pPr>
        <w:spacing w:line="278" w:lineRule="auto" w:before="0"/>
        <w:ind w:left="238" w:right="1643" w:firstLine="0"/>
        <w:jc w:val="left"/>
        <w:rPr>
          <w:b/>
          <w:sz w:val="21"/>
        </w:rPr>
      </w:pPr>
      <w:r>
        <w:rPr>
          <w:b/>
          <w:spacing w:val="-17"/>
          <w:sz w:val="21"/>
        </w:rPr>
        <w:t>本公司对“单耳失聪”、“听力严重受损”和“人工耳蜗植入术”三项中的其中一项承担保</w:t>
      </w:r>
      <w:r>
        <w:rPr>
          <w:b/>
          <w:spacing w:val="-2"/>
          <w:sz w:val="21"/>
        </w:rPr>
        <w:t>险责任，给付其中一项保险金后，对其他两项轻症疾病保险责任同时终止。</w:t>
      </w:r>
    </w:p>
    <w:p>
      <w:pPr>
        <w:spacing w:line="269" w:lineRule="exact" w:before="0"/>
        <w:ind w:left="238" w:right="0" w:firstLine="0"/>
        <w:jc w:val="left"/>
        <w:rPr>
          <w:b/>
          <w:sz w:val="21"/>
        </w:rPr>
      </w:pPr>
      <w:r>
        <w:rPr>
          <w:b/>
          <w:spacing w:val="-2"/>
          <w:sz w:val="21"/>
        </w:rPr>
        <w:t>十七、视力严重受损</w:t>
      </w:r>
    </w:p>
    <w:p>
      <w:pPr>
        <w:pStyle w:val="BodyText"/>
        <w:spacing w:line="278" w:lineRule="auto" w:before="43"/>
        <w:ind w:left="250" w:right="1549"/>
      </w:pPr>
      <w:r>
        <w:rPr>
          <w:spacing w:val="-7"/>
        </w:rPr>
        <w:t>指因疾病或者意外伤害导致双眼视力永久不可逆性丧失，但未达到本合同重大疾病“双目失</w:t>
      </w:r>
      <w:r>
        <w:rPr>
          <w:spacing w:val="-2"/>
        </w:rPr>
        <w:t>明”的给付标准，但满足下列条件之一：</w:t>
      </w:r>
    </w:p>
    <w:p>
      <w:pPr>
        <w:pStyle w:val="ListParagraph"/>
        <w:numPr>
          <w:ilvl w:val="0"/>
          <w:numId w:val="86"/>
        </w:numPr>
        <w:tabs>
          <w:tab w:pos="779" w:val="left" w:leader="none"/>
        </w:tabs>
        <w:spacing w:line="278" w:lineRule="auto" w:before="0" w:after="0"/>
        <w:ind w:left="250" w:right="1549" w:firstLine="0"/>
        <w:jc w:val="left"/>
        <w:rPr>
          <w:sz w:val="21"/>
        </w:rPr>
      </w:pPr>
      <w:r>
        <w:rPr>
          <w:spacing w:val="-2"/>
          <w:sz w:val="21"/>
        </w:rPr>
        <w:t>双眼中较好眼矫正视力低于0.1（</w:t>
      </w:r>
      <w:r>
        <w:rPr>
          <w:spacing w:val="-7"/>
          <w:sz w:val="21"/>
        </w:rPr>
        <w:t>采用国际标准视力表，如果使用其他视力表应进行换</w:t>
      </w:r>
      <w:r>
        <w:rPr>
          <w:spacing w:val="-10"/>
          <w:sz w:val="21"/>
        </w:rPr>
        <w:t>算</w:t>
      </w:r>
      <w:r>
        <w:rPr>
          <w:spacing w:val="-106"/>
          <w:sz w:val="21"/>
        </w:rPr>
        <w:t>）</w:t>
      </w:r>
      <w:r>
        <w:rPr>
          <w:sz w:val="21"/>
        </w:rPr>
        <w:t>；</w:t>
      </w:r>
    </w:p>
    <w:p>
      <w:pPr>
        <w:pStyle w:val="ListParagraph"/>
        <w:numPr>
          <w:ilvl w:val="0"/>
          <w:numId w:val="86"/>
        </w:numPr>
        <w:tabs>
          <w:tab w:pos="779" w:val="left" w:leader="none"/>
        </w:tabs>
        <w:spacing w:line="269" w:lineRule="exact" w:before="0" w:after="0"/>
        <w:ind w:left="779" w:right="0" w:hanging="529"/>
        <w:jc w:val="left"/>
        <w:rPr>
          <w:sz w:val="21"/>
        </w:rPr>
      </w:pPr>
      <w:r>
        <w:rPr>
          <w:spacing w:val="-2"/>
          <w:sz w:val="21"/>
        </w:rPr>
        <w:t>双眼中较好眼视野半径小于20</w:t>
      </w:r>
      <w:r>
        <w:rPr>
          <w:spacing w:val="-6"/>
          <w:sz w:val="21"/>
        </w:rPr>
        <w:t>度。</w:t>
      </w:r>
    </w:p>
    <w:p>
      <w:pPr>
        <w:pStyle w:val="Heading5"/>
        <w:spacing w:line="278" w:lineRule="auto" w:before="43"/>
        <w:ind w:right="1444"/>
      </w:pPr>
      <w:r>
        <w:rPr>
          <w:spacing w:val="-2"/>
        </w:rPr>
        <w:t>被保险人申请理赔时年龄必须在三周岁以上，并且提供理赔当时视力丧失诊断及检查证据。</w:t>
      </w:r>
      <w:r>
        <w:rPr>
          <w:spacing w:val="-24"/>
        </w:rPr>
        <w:t>本公司对“视力严重受损”、“糖尿病视网膜晚期增生性病变”、“单目失明”和“角膜移植”</w:t>
      </w:r>
      <w:r>
        <w:rPr>
          <w:spacing w:val="-2"/>
        </w:rPr>
        <w:t>四项中的其中一项承担保险责任，给付其中一项保险金后，对其他两项轻症疾病保险责任</w:t>
      </w:r>
      <w:r>
        <w:rPr>
          <w:spacing w:val="40"/>
        </w:rPr>
        <w:t> </w:t>
      </w:r>
      <w:r>
        <w:rPr>
          <w:spacing w:val="-2"/>
        </w:rPr>
        <w:t>同时终止。</w:t>
      </w:r>
    </w:p>
    <w:p>
      <w:pPr>
        <w:spacing w:line="269" w:lineRule="exact" w:before="0"/>
        <w:ind w:left="238" w:right="0" w:firstLine="0"/>
        <w:jc w:val="left"/>
        <w:rPr>
          <w:b/>
          <w:sz w:val="21"/>
        </w:rPr>
      </w:pPr>
      <w:r>
        <w:rPr>
          <w:b/>
          <w:spacing w:val="-2"/>
          <w:sz w:val="21"/>
        </w:rPr>
        <w:t>十八、角膜移植</w:t>
      </w:r>
    </w:p>
    <w:p>
      <w:pPr>
        <w:pStyle w:val="BodyText"/>
        <w:spacing w:line="278" w:lineRule="auto" w:before="43"/>
        <w:ind w:right="1549"/>
      </w:pPr>
      <w:r>
        <w:rPr>
          <w:spacing w:val="-4"/>
        </w:rPr>
        <w:t>指为增进视力或治疗某些角膜疾患，已经实施了异体的角膜移植手术。此手术必须在本公司</w:t>
      </w:r>
      <w:r>
        <w:rPr>
          <w:spacing w:val="-2"/>
        </w:rPr>
        <w:t>认可医院内由专科医生认为是医疗必须的情况下进行。</w:t>
      </w:r>
    </w:p>
    <w:p>
      <w:pPr>
        <w:pStyle w:val="Heading5"/>
        <w:spacing w:line="278" w:lineRule="auto"/>
        <w:ind w:right="1444"/>
      </w:pPr>
      <w:r>
        <w:rPr>
          <w:spacing w:val="-24"/>
        </w:rPr>
        <w:t>本公司对“视力严重受损”、“糖尿病视网膜晚期增生性病变”、“单目失明”和“角膜移植”</w:t>
      </w:r>
      <w:r>
        <w:rPr>
          <w:spacing w:val="-2"/>
        </w:rPr>
        <w:t>四项中的其中一项承担保险责任，给付其中一项保险金后，对其他两项轻症疾病保险责任</w:t>
      </w:r>
      <w:r>
        <w:rPr>
          <w:spacing w:val="40"/>
        </w:rPr>
        <w:t> </w:t>
      </w:r>
      <w:r>
        <w:rPr>
          <w:spacing w:val="-2"/>
        </w:rPr>
        <w:t>同时终止。</w:t>
      </w:r>
    </w:p>
    <w:p>
      <w:pPr>
        <w:spacing w:line="269" w:lineRule="exact" w:before="0"/>
        <w:ind w:left="238" w:right="0" w:firstLine="0"/>
        <w:jc w:val="left"/>
        <w:rPr>
          <w:b/>
          <w:sz w:val="21"/>
        </w:rPr>
      </w:pPr>
      <w:r>
        <w:rPr>
          <w:b/>
          <w:spacing w:val="-2"/>
          <w:sz w:val="21"/>
        </w:rPr>
        <w:t>十九、单目失明</w:t>
      </w:r>
    </w:p>
    <w:p>
      <w:pPr>
        <w:pStyle w:val="BodyText"/>
        <w:spacing w:line="278" w:lineRule="auto" w:before="43"/>
        <w:ind w:right="1443"/>
      </w:pPr>
      <w:r>
        <w:rPr>
          <w:spacing w:val="-10"/>
        </w:rPr>
        <w:t>指因疾病或意外伤害导致单眼视力永久不可逆性丧失，但未达到本合同重大疾病“双目失明”</w:t>
      </w:r>
      <w:r>
        <w:rPr>
          <w:spacing w:val="-2"/>
        </w:rPr>
        <w:t>的给付标准，但患眼须满足下列至少一项条件：</w:t>
      </w:r>
    </w:p>
    <w:p>
      <w:pPr>
        <w:pStyle w:val="ListParagraph"/>
        <w:numPr>
          <w:ilvl w:val="0"/>
          <w:numId w:val="87"/>
        </w:numPr>
        <w:tabs>
          <w:tab w:pos="767" w:val="left" w:leader="none"/>
        </w:tabs>
        <w:spacing w:line="240" w:lineRule="auto" w:before="0" w:after="0"/>
        <w:ind w:left="767" w:right="0" w:hanging="529"/>
        <w:jc w:val="left"/>
        <w:rPr>
          <w:sz w:val="21"/>
        </w:rPr>
      </w:pPr>
      <w:r>
        <w:rPr>
          <w:spacing w:val="-4"/>
          <w:sz w:val="21"/>
        </w:rPr>
        <w:t>眼球缺失或摘除；</w:t>
      </w:r>
    </w:p>
    <w:p>
      <w:pPr>
        <w:pStyle w:val="ListParagraph"/>
        <w:numPr>
          <w:ilvl w:val="0"/>
          <w:numId w:val="87"/>
        </w:numPr>
        <w:tabs>
          <w:tab w:pos="767" w:val="left" w:leader="none"/>
        </w:tabs>
        <w:spacing w:line="240" w:lineRule="auto" w:before="43" w:after="0"/>
        <w:ind w:left="767" w:right="0" w:hanging="529"/>
        <w:jc w:val="left"/>
        <w:rPr>
          <w:sz w:val="21"/>
        </w:rPr>
      </w:pPr>
      <w:r>
        <w:rPr>
          <w:spacing w:val="-6"/>
          <w:sz w:val="21"/>
        </w:rPr>
        <w:t>矫正视力低于 </w:t>
      </w:r>
      <w:r>
        <w:rPr>
          <w:spacing w:val="-2"/>
          <w:sz w:val="21"/>
        </w:rPr>
        <w:t>0.02（采用国际标准视力表，如果使用其他视力表应进行换算</w:t>
      </w:r>
      <w:r>
        <w:rPr>
          <w:spacing w:val="-113"/>
          <w:sz w:val="21"/>
        </w:rPr>
        <w:t>）</w:t>
      </w:r>
      <w:r>
        <w:rPr>
          <w:spacing w:val="-5"/>
          <w:sz w:val="21"/>
        </w:rPr>
        <w:t>；</w:t>
      </w:r>
    </w:p>
    <w:p>
      <w:pPr>
        <w:pStyle w:val="ListParagraph"/>
        <w:numPr>
          <w:ilvl w:val="0"/>
          <w:numId w:val="87"/>
        </w:numPr>
        <w:tabs>
          <w:tab w:pos="767" w:val="left" w:leader="none"/>
        </w:tabs>
        <w:spacing w:line="240" w:lineRule="auto" w:before="43" w:after="0"/>
        <w:ind w:left="767" w:right="0" w:hanging="529"/>
        <w:jc w:val="left"/>
        <w:rPr>
          <w:sz w:val="21"/>
        </w:rPr>
      </w:pPr>
      <w:r>
        <w:rPr>
          <w:spacing w:val="-9"/>
          <w:sz w:val="21"/>
        </w:rPr>
        <w:t>视野半径小于 </w:t>
      </w:r>
      <w:r>
        <w:rPr>
          <w:spacing w:val="-2"/>
          <w:sz w:val="21"/>
        </w:rPr>
        <w:t>5</w:t>
      </w:r>
      <w:r>
        <w:rPr>
          <w:spacing w:val="-21"/>
          <w:sz w:val="21"/>
        </w:rPr>
        <w:t> 度。</w:t>
      </w:r>
    </w:p>
    <w:p>
      <w:pPr>
        <w:pStyle w:val="BodyText"/>
        <w:spacing w:line="278" w:lineRule="auto" w:before="43"/>
        <w:ind w:right="1549"/>
      </w:pPr>
      <w:r>
        <w:rPr>
          <w:spacing w:val="-6"/>
        </w:rPr>
        <w:t>诊断须在本公司认可的医院内由眼科专科医生确认，并且提供理赔当时的视力丧失诊断及检</w:t>
      </w:r>
      <w:r>
        <w:rPr>
          <w:spacing w:val="-4"/>
        </w:rPr>
        <w:t>查证据。</w:t>
      </w:r>
    </w:p>
    <w:p>
      <w:pPr>
        <w:spacing w:line="278" w:lineRule="auto" w:before="0"/>
        <w:ind w:left="238" w:right="1642" w:firstLine="0"/>
        <w:jc w:val="left"/>
        <w:rPr>
          <w:b/>
          <w:sz w:val="21"/>
        </w:rPr>
      </w:pPr>
      <w:r>
        <w:rPr>
          <w:b/>
          <w:spacing w:val="-2"/>
          <w:sz w:val="21"/>
        </w:rPr>
        <w:t>被保险人申请理赔时年龄必须在三周岁以上，并且提供理赔当时的视力丧失诊断及检查证</w:t>
      </w:r>
      <w:r>
        <w:rPr>
          <w:b/>
          <w:spacing w:val="-6"/>
          <w:sz w:val="21"/>
        </w:rPr>
        <w:t>据。</w:t>
      </w:r>
    </w:p>
    <w:p>
      <w:pPr>
        <w:spacing w:line="278" w:lineRule="auto" w:before="0"/>
        <w:ind w:left="238" w:right="1444" w:firstLine="0"/>
        <w:jc w:val="left"/>
        <w:rPr>
          <w:b/>
          <w:sz w:val="21"/>
        </w:rPr>
      </w:pPr>
      <w:r>
        <w:rPr>
          <w:b/>
          <w:spacing w:val="-24"/>
          <w:sz w:val="21"/>
        </w:rPr>
        <w:t>本公司对“视力严重受损”、“糖尿病视网膜晚期增生性病变”、“单目失明”和“角膜移植”</w:t>
      </w:r>
      <w:r>
        <w:rPr>
          <w:b/>
          <w:spacing w:val="-2"/>
          <w:sz w:val="21"/>
        </w:rPr>
        <w:t>四项中的其中一项承担保险责任，给付其中一项保险金后，对其他两项轻症疾病保险责任</w:t>
      </w:r>
      <w:r>
        <w:rPr>
          <w:b/>
          <w:spacing w:val="40"/>
          <w:sz w:val="21"/>
        </w:rPr>
        <w:t> </w:t>
      </w:r>
      <w:r>
        <w:rPr>
          <w:b/>
          <w:spacing w:val="-2"/>
          <w:sz w:val="21"/>
        </w:rPr>
        <w:t>同时终止。</w:t>
      </w:r>
    </w:p>
    <w:p>
      <w:pPr>
        <w:spacing w:line="269" w:lineRule="exact" w:before="0"/>
        <w:ind w:left="238" w:right="0" w:firstLine="0"/>
        <w:jc w:val="left"/>
        <w:rPr>
          <w:b/>
          <w:sz w:val="21"/>
        </w:rPr>
      </w:pPr>
      <w:r>
        <w:rPr>
          <w:b/>
          <w:spacing w:val="-3"/>
          <w:sz w:val="21"/>
        </w:rPr>
        <w:t>二十、于颈动脉进行血管成形术或内膜切除术</w:t>
      </w:r>
    </w:p>
    <w:p>
      <w:pPr>
        <w:pStyle w:val="BodyText"/>
        <w:spacing w:line="278" w:lineRule="auto" w:before="43"/>
        <w:ind w:right="1549"/>
      </w:pPr>
      <w:r>
        <w:rPr>
          <w:spacing w:val="-4"/>
        </w:rPr>
        <w:t>指根据颈动脉造影检查结果，确诊一条或以上颈动脉存在严重狭窄性病变（至少一支血管管</w:t>
      </w:r>
      <w:r>
        <w:rPr>
          <w:spacing w:val="-2"/>
        </w:rPr>
        <w:t>腔直径减少50%以上</w:t>
      </w:r>
      <w:r>
        <w:rPr>
          <w:spacing w:val="-108"/>
        </w:rPr>
        <w:t>）</w:t>
      </w:r>
      <w:r>
        <w:rPr>
          <w:spacing w:val="-2"/>
        </w:rPr>
        <w:t>。</w:t>
      </w:r>
    </w:p>
    <w:p>
      <w:pPr>
        <w:pStyle w:val="BodyText"/>
        <w:spacing w:line="269" w:lineRule="exact"/>
      </w:pPr>
      <w:r>
        <w:rPr>
          <w:spacing w:val="-3"/>
        </w:rPr>
        <w:t>本病须经专科医生明确诊断，同时必须已经采取以下手术以减轻症状：</w:t>
      </w:r>
    </w:p>
    <w:p>
      <w:pPr>
        <w:pStyle w:val="ListParagraph"/>
        <w:numPr>
          <w:ilvl w:val="0"/>
          <w:numId w:val="88"/>
        </w:numPr>
        <w:tabs>
          <w:tab w:pos="767" w:val="left" w:leader="none"/>
        </w:tabs>
        <w:spacing w:line="240" w:lineRule="auto" w:before="43" w:after="0"/>
        <w:ind w:left="767" w:right="0" w:hanging="529"/>
        <w:jc w:val="left"/>
        <w:rPr>
          <w:sz w:val="21"/>
        </w:rPr>
      </w:pPr>
      <w:r>
        <w:rPr>
          <w:spacing w:val="-3"/>
          <w:sz w:val="21"/>
        </w:rPr>
        <w:t>确实进行动脉内膜切除术；</w:t>
      </w:r>
    </w:p>
    <w:p>
      <w:pPr>
        <w:pStyle w:val="ListParagraph"/>
        <w:numPr>
          <w:ilvl w:val="0"/>
          <w:numId w:val="88"/>
        </w:numPr>
        <w:tabs>
          <w:tab w:pos="767" w:val="left" w:leader="none"/>
        </w:tabs>
        <w:spacing w:line="278" w:lineRule="auto" w:before="43" w:after="0"/>
        <w:ind w:left="238" w:right="3143" w:firstLine="0"/>
        <w:jc w:val="left"/>
        <w:rPr>
          <w:b/>
          <w:sz w:val="21"/>
        </w:rPr>
      </w:pPr>
      <w:r>
        <w:rPr>
          <w:spacing w:val="-2"/>
          <w:sz w:val="21"/>
        </w:rPr>
        <w:t>确实进行血管介入治疗，例如血管成形术及/或进行植入支架手术。</w:t>
      </w:r>
      <w:r>
        <w:rPr>
          <w:b/>
          <w:spacing w:val="-2"/>
          <w:sz w:val="21"/>
        </w:rPr>
        <w:t>二十一、心脏瓣膜介入手术（非切开心脏手术）</w:t>
      </w:r>
    </w:p>
    <w:p>
      <w:pPr>
        <w:pStyle w:val="BodyText"/>
        <w:spacing w:line="269" w:lineRule="exact"/>
      </w:pPr>
      <w:r>
        <w:rPr>
          <w:spacing w:val="-3"/>
        </w:rPr>
        <w:t>指为了治疗心脏瓣膜疾病，被保险人实际接受了非切开心脏的心脏瓣膜置换或修复手术。</w:t>
      </w:r>
    </w:p>
    <w:p>
      <w:pPr>
        <w:spacing w:after="0" w:line="269" w:lineRule="exact"/>
        <w:sectPr>
          <w:pgSz w:w="11910" w:h="16840"/>
          <w:pgMar w:header="0" w:footer="1005" w:top="1400" w:bottom="1200" w:left="1560" w:right="240"/>
        </w:sectPr>
      </w:pPr>
    </w:p>
    <w:p>
      <w:pPr>
        <w:pStyle w:val="Heading5"/>
        <w:spacing w:before="44"/>
      </w:pPr>
      <w:r>
        <w:rPr>
          <w:spacing w:val="-3"/>
        </w:rPr>
        <w:t>二十二、硬脑膜下血肿手术</w:t>
      </w:r>
    </w:p>
    <w:p>
      <w:pPr>
        <w:pStyle w:val="BodyText"/>
        <w:spacing w:line="278" w:lineRule="auto" w:before="43"/>
        <w:ind w:right="1549"/>
      </w:pPr>
      <w:r>
        <w:rPr>
          <w:spacing w:val="-4"/>
        </w:rPr>
        <w:t>为清除或引流因意外伤害导致的血肿，需于头部进行开颅或钻孔手术。开颅或钻孔手术必须</w:t>
      </w:r>
      <w:r>
        <w:rPr>
          <w:spacing w:val="-2"/>
        </w:rPr>
        <w:t>在本公司认可的医院由专科医生认为是医疗必须的情况下进行。</w:t>
      </w:r>
    </w:p>
    <w:p>
      <w:pPr>
        <w:pStyle w:val="Heading5"/>
        <w:spacing w:line="269" w:lineRule="exact"/>
      </w:pPr>
      <w:r>
        <w:rPr>
          <w:spacing w:val="-3"/>
        </w:rPr>
        <w:t>二十三、全身较小面积Ⅲ度烧伤</w:t>
      </w:r>
    </w:p>
    <w:p>
      <w:pPr>
        <w:pStyle w:val="BodyText"/>
        <w:spacing w:line="278" w:lineRule="auto" w:before="43"/>
        <w:ind w:right="1443"/>
      </w:pPr>
      <w:r>
        <w:rPr>
          <w:spacing w:val="-4"/>
        </w:rPr>
        <w:t>指烧伤程度为Ⅲ度，且Ⅲ度烧伤面积为全身体表面积的 </w:t>
      </w:r>
      <w:r>
        <w:rPr>
          <w:spacing w:val="-2"/>
        </w:rPr>
        <w:t>10</w:t>
      </w:r>
      <w:r>
        <w:rPr>
          <w:spacing w:val="-13"/>
        </w:rPr>
        <w:t>%或者 </w:t>
      </w:r>
      <w:r>
        <w:rPr>
          <w:spacing w:val="-2"/>
        </w:rPr>
        <w:t>10</w:t>
      </w:r>
      <w:r>
        <w:rPr>
          <w:spacing w:val="-7"/>
        </w:rPr>
        <w:t>%以上，但尚未达到 </w:t>
      </w:r>
      <w:r>
        <w:rPr>
          <w:spacing w:val="-2"/>
        </w:rPr>
        <w:t>15%。</w:t>
      </w:r>
      <w:r>
        <w:rPr>
          <w:spacing w:val="-2"/>
        </w:rPr>
        <w:t>体表面积根据《中国新九分法》计算。</w:t>
      </w:r>
    </w:p>
    <w:p>
      <w:pPr>
        <w:pStyle w:val="Heading5"/>
        <w:spacing w:line="269" w:lineRule="exact"/>
      </w:pPr>
      <w:r>
        <w:rPr>
          <w:spacing w:val="-3"/>
        </w:rPr>
        <w:t>二十四、肾动脉狭窄支架植入手术</w:t>
      </w:r>
    </w:p>
    <w:p>
      <w:pPr>
        <w:pStyle w:val="BodyText"/>
        <w:spacing w:line="278" w:lineRule="auto" w:before="43"/>
        <w:ind w:right="1549"/>
      </w:pPr>
      <w:r>
        <w:rPr>
          <w:spacing w:val="-2"/>
        </w:rPr>
        <w:t>指被保险人因肾动脉狭窄（</w:t>
      </w:r>
      <w:r>
        <w:rPr>
          <w:spacing w:val="-4"/>
        </w:rPr>
        <w:t>经血管造影术证明一条或以上的血管存在 </w:t>
      </w:r>
      <w:r>
        <w:rPr>
          <w:spacing w:val="-2"/>
        </w:rPr>
        <w:t>50%或以上狭窄）而实</w:t>
      </w:r>
      <w:r>
        <w:rPr>
          <w:spacing w:val="-2"/>
        </w:rPr>
        <w:t>际接受了肾动脉支架植入手术。</w:t>
      </w:r>
    </w:p>
    <w:p>
      <w:pPr>
        <w:spacing w:line="278" w:lineRule="auto" w:before="0"/>
        <w:ind w:left="238" w:right="6712" w:firstLine="0"/>
        <w:jc w:val="left"/>
        <w:rPr>
          <w:b/>
          <w:sz w:val="21"/>
        </w:rPr>
      </w:pPr>
      <w:r>
        <w:rPr>
          <w:spacing w:val="-2"/>
          <w:sz w:val="21"/>
        </w:rPr>
        <w:t>肾动脉分支血管的支架植入除外。</w:t>
      </w:r>
      <w:r>
        <w:rPr>
          <w:b/>
          <w:spacing w:val="-2"/>
          <w:sz w:val="21"/>
        </w:rPr>
        <w:t>二十五、严重甲型及乙型血友病</w:t>
      </w:r>
    </w:p>
    <w:p>
      <w:pPr>
        <w:pStyle w:val="BodyText"/>
        <w:spacing w:line="278" w:lineRule="auto"/>
        <w:ind w:right="1551"/>
      </w:pPr>
      <w:r>
        <w:rPr>
          <w:spacing w:val="-4"/>
        </w:rPr>
        <w:t>被保险人必须是患上严重甲型血友病（缺乏Ⅷ凝血因子）或严重乙型血友病（缺乏Ⅸ凝血因</w:t>
      </w:r>
      <w:r>
        <w:rPr>
          <w:spacing w:val="-2"/>
        </w:rPr>
        <w:t>子</w:t>
      </w:r>
      <w:r>
        <w:rPr>
          <w:spacing w:val="-106"/>
        </w:rPr>
        <w:t>）</w:t>
      </w:r>
      <w:r>
        <w:rPr>
          <w:spacing w:val="-3"/>
        </w:rPr>
        <w:t>，而凝血因子Ⅷ或凝血因子Ⅸ的活性水平少于百分之一。</w:t>
      </w:r>
    </w:p>
    <w:p>
      <w:pPr>
        <w:pStyle w:val="BodyText"/>
      </w:pPr>
      <w:r>
        <w:rPr>
          <w:spacing w:val="-3"/>
        </w:rPr>
        <w:t>诊断必须由本公司认可医院的血液病专科医生确认。</w:t>
      </w:r>
    </w:p>
    <w:p>
      <w:pPr>
        <w:pStyle w:val="Heading5"/>
        <w:spacing w:line="278" w:lineRule="auto" w:before="43"/>
        <w:ind w:right="1643"/>
      </w:pPr>
      <w:r>
        <w:rPr>
          <w:spacing w:val="-2"/>
        </w:rPr>
        <w:t>本公司承担本项疾病责任不受本合同责任免除中“遗传性疾病、先天性畸形、变形或染色</w:t>
      </w:r>
      <w:r>
        <w:rPr>
          <w:spacing w:val="-2"/>
        </w:rPr>
        <w:t>体异常”的限制。</w:t>
      </w:r>
    </w:p>
    <w:p>
      <w:pPr>
        <w:spacing w:line="269" w:lineRule="exact" w:before="0"/>
        <w:ind w:left="238" w:right="0" w:firstLine="0"/>
        <w:jc w:val="left"/>
        <w:rPr>
          <w:b/>
          <w:sz w:val="21"/>
        </w:rPr>
      </w:pPr>
      <w:r>
        <w:rPr>
          <w:b/>
          <w:spacing w:val="-2"/>
          <w:sz w:val="21"/>
        </w:rPr>
        <w:t>二十六、主动脉内手术（非开胸或开腹手术</w:t>
      </w:r>
      <w:r>
        <w:rPr>
          <w:b/>
          <w:spacing w:val="-10"/>
          <w:sz w:val="21"/>
        </w:rPr>
        <w:t>）</w:t>
      </w:r>
    </w:p>
    <w:p>
      <w:pPr>
        <w:pStyle w:val="BodyText"/>
        <w:spacing w:line="278" w:lineRule="auto" w:before="43"/>
        <w:ind w:right="1443"/>
      </w:pPr>
      <w:r>
        <w:rPr>
          <w:spacing w:val="-6"/>
        </w:rPr>
        <w:t>为了治疗主动脉疾病实际实施了经皮经导管进行的主动脉内手术，但未达到本合同重大疾病</w:t>
      </w:r>
      <w:r>
        <w:rPr>
          <w:spacing w:val="-2"/>
        </w:rPr>
        <w:t> </w:t>
      </w:r>
      <w:r>
        <w:rPr>
          <w:spacing w:val="-21"/>
        </w:rPr>
        <w:t>“主动脉手术”的标准。主动脉指升主动脉、主动脉弓和降主动脉</w:t>
      </w:r>
      <w:r>
        <w:rPr>
          <w:spacing w:val="-2"/>
        </w:rPr>
        <w:t>（含胸主动脉和腹主动脉</w:t>
      </w:r>
      <w:r>
        <w:rPr>
          <w:spacing w:val="-106"/>
        </w:rPr>
        <w:t>）</w:t>
      </w:r>
      <w:r>
        <w:rPr/>
        <w:t>，</w:t>
      </w:r>
      <w:r>
        <w:rPr>
          <w:spacing w:val="-2"/>
        </w:rPr>
        <w:t>不包括升主动脉、主动脉弓和降主动脉的分支血管。</w:t>
      </w:r>
    </w:p>
    <w:p>
      <w:pPr>
        <w:pStyle w:val="Heading5"/>
        <w:spacing w:line="269" w:lineRule="exact"/>
      </w:pPr>
      <w:r>
        <w:rPr>
          <w:spacing w:val="-2"/>
        </w:rPr>
        <w:t>二十七、早期象皮病</w:t>
      </w:r>
    </w:p>
    <w:p>
      <w:pPr>
        <w:pStyle w:val="BodyText"/>
        <w:spacing w:line="278" w:lineRule="auto" w:before="43"/>
        <w:ind w:right="1549"/>
        <w:jc w:val="both"/>
      </w:pPr>
      <w:r>
        <w:rPr>
          <w:spacing w:val="-6"/>
        </w:rPr>
        <w:t>指因丝虫感染导致淋巴管阻塞而造成身体组织出现严重淋巴水肿，但未达到本合同重大疾病</w:t>
      </w:r>
      <w:r>
        <w:rPr>
          <w:spacing w:val="-2"/>
        </w:rPr>
        <w:t> </w:t>
      </w:r>
      <w:r>
        <w:rPr>
          <w:spacing w:val="-5"/>
        </w:rPr>
        <w:t>“丝虫病所致象皮肿”的标准，但需达到国际淋巴学会分级为 </w:t>
      </w:r>
      <w:r>
        <w:rPr>
          <w:spacing w:val="-4"/>
        </w:rPr>
        <w:t>2</w:t>
      </w:r>
      <w:r>
        <w:rPr>
          <w:spacing w:val="-8"/>
        </w:rPr>
        <w:t> 级淋巴液肿，其临床表现为</w:t>
      </w:r>
      <w:r>
        <w:rPr>
          <w:spacing w:val="-2"/>
        </w:rPr>
        <w:t>肿胀为凹陷性，肢体抬高休息时肿胀不消失，有中度纤维化。</w:t>
      </w:r>
    </w:p>
    <w:p>
      <w:pPr>
        <w:pStyle w:val="BodyText"/>
        <w:spacing w:line="269" w:lineRule="exact"/>
      </w:pPr>
      <w:r>
        <w:rPr>
          <w:spacing w:val="-3"/>
        </w:rPr>
        <w:t>此病症须经本公司认可医院的专科医生根据临床表现和微丝蚴的化验结果确诊。</w:t>
      </w:r>
    </w:p>
    <w:p>
      <w:pPr>
        <w:pStyle w:val="Heading5"/>
        <w:spacing w:line="278" w:lineRule="auto" w:before="43"/>
        <w:ind w:right="1643"/>
      </w:pPr>
      <w:r>
        <w:rPr>
          <w:spacing w:val="-2"/>
        </w:rPr>
        <w:t>由性接触传染的疾病、创伤、手术后疤痕、充血性心力衰竭或先天性淋巴系统异常引起的</w:t>
      </w:r>
      <w:r>
        <w:rPr>
          <w:spacing w:val="-2"/>
        </w:rPr>
        <w:t>淋巴水肿，以及急性淋巴管炎或其他原因引起的淋巴水肿不在保障范围内。</w:t>
      </w:r>
    </w:p>
    <w:p>
      <w:pPr>
        <w:spacing w:line="269" w:lineRule="exact" w:before="0"/>
        <w:ind w:left="238" w:right="0" w:firstLine="0"/>
        <w:jc w:val="left"/>
        <w:rPr>
          <w:b/>
          <w:sz w:val="21"/>
        </w:rPr>
      </w:pPr>
      <w:r>
        <w:rPr>
          <w:b/>
          <w:spacing w:val="-3"/>
          <w:sz w:val="21"/>
        </w:rPr>
        <w:t>二十八、心包膜切除术</w:t>
      </w:r>
    </w:p>
    <w:p>
      <w:pPr>
        <w:pStyle w:val="BodyText"/>
        <w:spacing w:line="278" w:lineRule="auto" w:before="43"/>
        <w:ind w:right="1551"/>
      </w:pPr>
      <w:r>
        <w:rPr>
          <w:spacing w:val="-4"/>
        </w:rPr>
        <w:t>指为治疗心包膜疾病，已经实施了心包膜切除术，但未达到本合同重大疾病“严重慢性缩窄</w:t>
      </w:r>
      <w:r>
        <w:rPr>
          <w:spacing w:val="-2"/>
        </w:rPr>
        <w:t>型心包炎”的给付标准。手术必须在心脏科医生认为是医学上必须的情况下进行。</w:t>
      </w:r>
    </w:p>
    <w:p>
      <w:pPr>
        <w:pStyle w:val="Heading5"/>
        <w:spacing w:line="269" w:lineRule="exact"/>
      </w:pPr>
      <w:r>
        <w:rPr>
          <w:spacing w:val="-3"/>
        </w:rPr>
        <w:t>二十九、永久性植入心脏起搏器</w:t>
      </w:r>
    </w:p>
    <w:p>
      <w:pPr>
        <w:pStyle w:val="BodyText"/>
        <w:spacing w:line="278" w:lineRule="auto" w:before="43"/>
        <w:ind w:right="1548"/>
      </w:pPr>
      <w:r>
        <w:rPr>
          <w:spacing w:val="-6"/>
        </w:rPr>
        <w:t>因严重心律失常而于心腔内进行植入永久性心脏起搏器的手术，此严重心律失常并不能以其</w:t>
      </w:r>
      <w:r>
        <w:rPr>
          <w:spacing w:val="-2"/>
        </w:rPr>
        <w:t>他方法治疗。必须由相关专科医生确认植入心脏起搏器为医疗所须。</w:t>
      </w:r>
    </w:p>
    <w:p>
      <w:pPr>
        <w:pStyle w:val="Heading5"/>
        <w:spacing w:line="269" w:lineRule="exact"/>
      </w:pPr>
      <w:r>
        <w:rPr>
          <w:spacing w:val="-3"/>
        </w:rPr>
        <w:t>临时心脏起搏器安装除外。</w:t>
      </w:r>
    </w:p>
    <w:p>
      <w:pPr>
        <w:spacing w:before="43"/>
        <w:ind w:left="238" w:right="0" w:firstLine="0"/>
        <w:jc w:val="left"/>
        <w:rPr>
          <w:b/>
          <w:sz w:val="21"/>
        </w:rPr>
      </w:pPr>
      <w:r>
        <w:rPr>
          <w:b/>
          <w:spacing w:val="-3"/>
          <w:sz w:val="21"/>
        </w:rPr>
        <w:t>三十、永久性植入心脏除纤颤器</w:t>
      </w:r>
    </w:p>
    <w:p>
      <w:pPr>
        <w:pStyle w:val="BodyText"/>
        <w:spacing w:line="278" w:lineRule="auto" w:before="43"/>
        <w:ind w:right="1548"/>
      </w:pPr>
      <w:r>
        <w:rPr>
          <w:spacing w:val="-6"/>
        </w:rPr>
        <w:t>因严重心律失常而于心腔内进行植入永久性心脏除颤器的手术，此严重心律失常并不能以其</w:t>
      </w:r>
      <w:r>
        <w:rPr>
          <w:spacing w:val="-2"/>
        </w:rPr>
        <w:t>他方法治疗。必须由相关专科医生确认植入心脏除颤器为医疗所须。</w:t>
      </w:r>
    </w:p>
    <w:p>
      <w:pPr>
        <w:pStyle w:val="Heading5"/>
        <w:spacing w:line="278" w:lineRule="auto" w:before="1"/>
        <w:ind w:right="3013"/>
      </w:pPr>
      <w:r>
        <w:rPr>
          <w:spacing w:val="-2"/>
        </w:rPr>
        <w:t>体外心脏电复律（心脏电除颤)</w:t>
      </w:r>
      <w:r>
        <w:rPr>
          <w:spacing w:val="-2"/>
        </w:rPr>
        <w:t>、临时性埋藏式心脏复律除颤器安装除外。</w:t>
      </w:r>
      <w:r>
        <w:rPr>
          <w:spacing w:val="-2"/>
        </w:rPr>
        <w:t>三十一、早期原发性心肌病</w:t>
      </w:r>
    </w:p>
    <w:p>
      <w:pPr>
        <w:pStyle w:val="BodyText"/>
        <w:spacing w:line="278" w:lineRule="auto"/>
        <w:ind w:right="1554"/>
      </w:pPr>
      <w:r>
        <w:rPr>
          <w:spacing w:val="-4"/>
        </w:rPr>
        <w:t>被诊断为原发性心肌病，并符合下列所有条件，但未达到本合同重大疾病“严重心肌病”的</w:t>
      </w:r>
      <w:r>
        <w:rPr>
          <w:spacing w:val="-2"/>
        </w:rPr>
        <w:t>给付标准：</w:t>
      </w:r>
    </w:p>
    <w:p>
      <w:pPr>
        <w:pStyle w:val="ListParagraph"/>
        <w:numPr>
          <w:ilvl w:val="0"/>
          <w:numId w:val="89"/>
        </w:numPr>
        <w:tabs>
          <w:tab w:pos="767" w:val="left" w:leader="none"/>
        </w:tabs>
        <w:spacing w:line="278" w:lineRule="auto" w:before="0" w:after="0"/>
        <w:ind w:left="238" w:right="2403" w:firstLine="0"/>
        <w:jc w:val="left"/>
        <w:rPr>
          <w:sz w:val="21"/>
        </w:rPr>
      </w:pPr>
      <w:r>
        <w:rPr>
          <w:sz w:val="21"/>
        </w:rPr>
        <w:t>导致心室功能受损，其受损程度达到美国纽约心脏病学会（New</w:t>
      </w:r>
      <w:r>
        <w:rPr>
          <w:spacing w:val="-16"/>
          <w:sz w:val="21"/>
        </w:rPr>
        <w:t> </w:t>
      </w:r>
      <w:r>
        <w:rPr>
          <w:sz w:val="21"/>
        </w:rPr>
        <w:t>York</w:t>
      </w:r>
      <w:r>
        <w:rPr>
          <w:spacing w:val="-16"/>
          <w:sz w:val="21"/>
        </w:rPr>
        <w:t> </w:t>
      </w:r>
      <w:r>
        <w:rPr>
          <w:sz w:val="21"/>
        </w:rPr>
        <w:t>Heart </w:t>
      </w:r>
      <w:r>
        <w:rPr>
          <w:spacing w:val="-2"/>
          <w:sz w:val="21"/>
        </w:rPr>
        <w:t>Association，NYHA）心功能状态分级Ⅲ级（注</w:t>
      </w:r>
      <w:r>
        <w:rPr>
          <w:spacing w:val="-106"/>
          <w:sz w:val="21"/>
        </w:rPr>
        <w:t>）</w:t>
      </w:r>
      <w:r>
        <w:rPr>
          <w:spacing w:val="-3"/>
          <w:sz w:val="21"/>
        </w:rPr>
        <w:t>，或其同等级别；</w:t>
      </w:r>
    </w:p>
    <w:p>
      <w:pPr>
        <w:spacing w:after="0" w:line="278" w:lineRule="auto"/>
        <w:jc w:val="left"/>
        <w:rPr>
          <w:sz w:val="21"/>
        </w:rPr>
        <w:sectPr>
          <w:pgSz w:w="11910" w:h="16840"/>
          <w:pgMar w:header="0" w:footer="1005" w:top="1400" w:bottom="1200" w:left="1560" w:right="240"/>
        </w:sectPr>
      </w:pPr>
    </w:p>
    <w:p>
      <w:pPr>
        <w:pStyle w:val="ListParagraph"/>
        <w:numPr>
          <w:ilvl w:val="0"/>
          <w:numId w:val="89"/>
        </w:numPr>
        <w:tabs>
          <w:tab w:pos="767" w:val="left" w:leader="none"/>
        </w:tabs>
        <w:spacing w:line="278" w:lineRule="auto" w:before="44" w:after="0"/>
        <w:ind w:left="238" w:right="1563" w:firstLine="0"/>
        <w:jc w:val="left"/>
        <w:rPr>
          <w:sz w:val="21"/>
        </w:rPr>
      </w:pPr>
      <w:r>
        <w:rPr>
          <w:spacing w:val="-2"/>
          <w:sz w:val="21"/>
        </w:rPr>
        <w:t>原发性心肌病的诊断必须由本公司认可医院的心脏专科医生确认，并提供心脏超声检</w:t>
      </w:r>
      <w:r>
        <w:rPr>
          <w:spacing w:val="-2"/>
          <w:sz w:val="21"/>
        </w:rPr>
        <w:t>查结果报告。</w:t>
      </w:r>
    </w:p>
    <w:p>
      <w:pPr>
        <w:pStyle w:val="Heading5"/>
        <w:spacing w:line="278" w:lineRule="auto"/>
        <w:ind w:right="1642"/>
      </w:pPr>
      <w:r>
        <w:rPr>
          <w:spacing w:val="-2"/>
        </w:rPr>
        <w:t>保障范围内的心肌病仅包括扩张型心肌病、肥厚型心肌病及限制型心肌病。继发于全身性</w:t>
      </w:r>
      <w:r>
        <w:rPr>
          <w:spacing w:val="-2"/>
        </w:rPr>
        <w:t>疾病或其他器官系统疾病及酒精滥用造成的心肌病变不在保障范围内。</w:t>
      </w:r>
    </w:p>
    <w:p>
      <w:pPr>
        <w:pStyle w:val="BodyText"/>
        <w:spacing w:line="278" w:lineRule="auto"/>
        <w:ind w:right="1549"/>
      </w:pPr>
      <w:r>
        <w:rPr/>
        <w:t>注：美国纽约心脏病学会（New</w:t>
      </w:r>
      <w:r>
        <w:rPr>
          <w:spacing w:val="-31"/>
        </w:rPr>
        <w:t> </w:t>
      </w:r>
      <w:r>
        <w:rPr/>
        <w:t>York</w:t>
      </w:r>
      <w:r>
        <w:rPr>
          <w:spacing w:val="-29"/>
        </w:rPr>
        <w:t> </w:t>
      </w:r>
      <w:r>
        <w:rPr/>
        <w:t>Heart</w:t>
      </w:r>
      <w:r>
        <w:rPr>
          <w:spacing w:val="-31"/>
        </w:rPr>
        <w:t> </w:t>
      </w:r>
      <w:r>
        <w:rPr/>
        <w:t>Association，NYHA）心功能状态分级Ⅲ级是指</w:t>
      </w:r>
      <w:r>
        <w:rPr>
          <w:spacing w:val="-2"/>
        </w:rPr>
        <w:t>心脏病病人体力活动明显受限，低于平时一般活动即引起心衰症状。</w:t>
      </w:r>
    </w:p>
    <w:p>
      <w:pPr>
        <w:pStyle w:val="Heading5"/>
        <w:spacing w:line="269" w:lineRule="exact"/>
      </w:pPr>
      <w:r>
        <w:rPr>
          <w:spacing w:val="-3"/>
        </w:rPr>
        <w:t>三十二、轻度面部烧伤</w:t>
      </w:r>
    </w:p>
    <w:p>
      <w:pPr>
        <w:pStyle w:val="BodyText"/>
        <w:spacing w:line="278" w:lineRule="auto" w:before="43"/>
        <w:ind w:right="1565"/>
      </w:pPr>
      <w:r>
        <w:rPr>
          <w:spacing w:val="-2"/>
        </w:rPr>
        <w:t>指面部烧伤程度为Ⅲ度，且面部Ⅲ度烧伤的面积达到面部表面积的 </w:t>
      </w:r>
      <w:r>
        <w:rPr/>
        <w:t>30%及以上，但未达到 </w:t>
      </w:r>
      <w:r>
        <w:rPr>
          <w:spacing w:val="-2"/>
        </w:rPr>
        <w:t>60%。面部的范围指上至发际、下至下颌下缘、两侧至下颌支后缘之间的区域，包括额部、</w:t>
      </w:r>
      <w:r>
        <w:rPr>
          <w:spacing w:val="-2"/>
        </w:rPr>
        <w:t>眼部、眶部、鼻部、口唇部、颏部、颧部、颊部和腮腺咬肌部。</w:t>
      </w:r>
    </w:p>
    <w:p>
      <w:pPr>
        <w:pStyle w:val="Heading5"/>
        <w:spacing w:line="269" w:lineRule="exact"/>
      </w:pPr>
      <w:r>
        <w:rPr>
          <w:spacing w:val="-3"/>
        </w:rPr>
        <w:t>三十三、面部重建手术</w:t>
      </w:r>
    </w:p>
    <w:p>
      <w:pPr>
        <w:pStyle w:val="BodyText"/>
        <w:spacing w:line="278" w:lineRule="auto" w:before="43"/>
        <w:ind w:right="1443"/>
      </w:pPr>
      <w:r>
        <w:rPr>
          <w:spacing w:val="-14"/>
          <w:w w:val="100"/>
        </w:rPr>
        <w:t>因疾病或意外伤害导致面部毁容，确实进行整形或者重建手术</w:t>
      </w:r>
      <w:r>
        <w:rPr>
          <w:w w:val="100"/>
        </w:rPr>
        <w:t>（</w:t>
      </w:r>
      <w:r>
        <w:rPr>
          <w:spacing w:val="-3"/>
          <w:w w:val="100"/>
        </w:rPr>
        <w:t>颈部以上的面部构造不完整、缺失或者受损而对其形态及外观进行修复或者重建</w:t>
      </w:r>
      <w:r>
        <w:rPr>
          <w:spacing w:val="-108"/>
          <w:w w:val="100"/>
        </w:rPr>
        <w:t>）</w:t>
      </w:r>
      <w:r>
        <w:rPr>
          <w:spacing w:val="-3"/>
          <w:w w:val="100"/>
        </w:rPr>
        <w:t>，同时必须由专科医生认为该面部毁容</w:t>
      </w:r>
      <w:r>
        <w:rPr>
          <w:spacing w:val="-9"/>
          <w:w w:val="100"/>
        </w:rPr>
        <w:t>是需要接受住院治疗，及其后接受该手术，而对该面部毁容所进行的治疗亦是医疗所需。因</w:t>
      </w:r>
      <w:r>
        <w:rPr>
          <w:spacing w:val="-13"/>
          <w:w w:val="100"/>
        </w:rPr>
        <w:t>纯粹整容原因、独立的牙齿修复、独立的鼻骨骨折或者独立的皮肤伤口所进行的手术均不在</w:t>
      </w:r>
      <w:r>
        <w:rPr>
          <w:spacing w:val="-6"/>
          <w:w w:val="100"/>
        </w:rPr>
        <w:t>此保障范围内。</w:t>
      </w:r>
    </w:p>
    <w:p>
      <w:pPr>
        <w:pStyle w:val="Heading5"/>
        <w:spacing w:line="278" w:lineRule="auto"/>
        <w:ind w:right="1446"/>
      </w:pPr>
      <w:r>
        <w:rPr>
          <w:spacing w:val="-12"/>
        </w:rPr>
        <w:t>被保险人达到条款约定的“全身较小面积Ⅲ度烧伤”、“轻度面部烧伤”轻症疾病赔付责任，</w:t>
      </w:r>
      <w:r>
        <w:rPr>
          <w:spacing w:val="-10"/>
        </w:rPr>
        <w:t>且因此需行“面部重建手术”，则不在此保障范围内。</w:t>
      </w:r>
    </w:p>
    <w:p>
      <w:pPr>
        <w:spacing w:line="269" w:lineRule="exact" w:before="0"/>
        <w:ind w:left="238" w:right="0" w:firstLine="0"/>
        <w:jc w:val="left"/>
        <w:rPr>
          <w:b/>
          <w:sz w:val="21"/>
        </w:rPr>
      </w:pPr>
      <w:r>
        <w:rPr>
          <w:b/>
          <w:spacing w:val="-2"/>
          <w:sz w:val="21"/>
        </w:rPr>
        <w:t>三十四、肝叶切除</w:t>
      </w:r>
    </w:p>
    <w:p>
      <w:pPr>
        <w:pStyle w:val="BodyText"/>
        <w:spacing w:line="278" w:lineRule="auto" w:before="43"/>
        <w:ind w:right="1549"/>
      </w:pPr>
      <w:r>
        <w:rPr>
          <w:spacing w:val="-4"/>
        </w:rPr>
        <w:t>指因疾病或意外伤害导致肝脏严重损害，已经实施了肝左叶切除手术或肝右叶切除手术（备</w:t>
      </w:r>
      <w:r>
        <w:rPr>
          <w:spacing w:val="-2"/>
        </w:rPr>
        <w:t>注：本定义是按肝脏的传统解剖分段法将肝脏分为肝左叶和肝右叶</w:t>
      </w:r>
      <w:r>
        <w:rPr>
          <w:spacing w:val="-106"/>
        </w:rPr>
        <w:t>）</w:t>
      </w:r>
      <w:r>
        <w:rPr>
          <w:spacing w:val="-2"/>
        </w:rPr>
        <w:t>。</w:t>
      </w:r>
    </w:p>
    <w:p>
      <w:pPr>
        <w:spacing w:line="269" w:lineRule="exact" w:before="0"/>
        <w:ind w:left="238" w:right="0" w:firstLine="0"/>
        <w:jc w:val="left"/>
        <w:rPr>
          <w:b/>
          <w:sz w:val="21"/>
        </w:rPr>
      </w:pPr>
      <w:r>
        <w:rPr>
          <w:b/>
          <w:spacing w:val="-3"/>
          <w:sz w:val="21"/>
        </w:rPr>
        <w:t>下列情况不在保障范围内：</w:t>
      </w:r>
    </w:p>
    <w:p>
      <w:pPr>
        <w:pStyle w:val="ListParagraph"/>
        <w:numPr>
          <w:ilvl w:val="0"/>
          <w:numId w:val="90"/>
        </w:numPr>
        <w:tabs>
          <w:tab w:pos="767" w:val="left" w:leader="none"/>
        </w:tabs>
        <w:spacing w:line="240" w:lineRule="auto" w:before="43" w:after="0"/>
        <w:ind w:left="767" w:right="0" w:hanging="529"/>
        <w:jc w:val="left"/>
        <w:rPr>
          <w:b/>
          <w:sz w:val="21"/>
        </w:rPr>
      </w:pPr>
      <w:r>
        <w:rPr>
          <w:b/>
          <w:spacing w:val="-3"/>
          <w:sz w:val="21"/>
        </w:rPr>
        <w:t>肝区切除、肝段切除手术；</w:t>
      </w:r>
    </w:p>
    <w:p>
      <w:pPr>
        <w:pStyle w:val="ListParagraph"/>
        <w:numPr>
          <w:ilvl w:val="0"/>
          <w:numId w:val="90"/>
        </w:numPr>
        <w:tabs>
          <w:tab w:pos="767" w:val="left" w:leader="none"/>
        </w:tabs>
        <w:spacing w:line="240" w:lineRule="auto" w:before="43" w:after="0"/>
        <w:ind w:left="767" w:right="0" w:hanging="529"/>
        <w:jc w:val="left"/>
        <w:rPr>
          <w:b/>
          <w:sz w:val="21"/>
        </w:rPr>
      </w:pPr>
      <w:r>
        <w:rPr>
          <w:b/>
          <w:spacing w:val="-3"/>
          <w:sz w:val="21"/>
        </w:rPr>
        <w:t>因酒精或者滥用药物引致的疾病或者紊乱；</w:t>
      </w:r>
    </w:p>
    <w:p>
      <w:pPr>
        <w:pStyle w:val="ListParagraph"/>
        <w:numPr>
          <w:ilvl w:val="0"/>
          <w:numId w:val="90"/>
        </w:numPr>
        <w:tabs>
          <w:tab w:pos="767" w:val="left" w:leader="none"/>
        </w:tabs>
        <w:spacing w:line="240" w:lineRule="auto" w:before="43" w:after="0"/>
        <w:ind w:left="767" w:right="0" w:hanging="529"/>
        <w:jc w:val="left"/>
        <w:rPr>
          <w:b/>
          <w:sz w:val="21"/>
        </w:rPr>
      </w:pPr>
      <w:r>
        <w:rPr>
          <w:b/>
          <w:spacing w:val="-3"/>
          <w:sz w:val="21"/>
        </w:rPr>
        <w:t>因恶性肿瘤进行的肝切除手术；</w:t>
      </w:r>
    </w:p>
    <w:p>
      <w:pPr>
        <w:pStyle w:val="ListParagraph"/>
        <w:numPr>
          <w:ilvl w:val="0"/>
          <w:numId w:val="90"/>
        </w:numPr>
        <w:tabs>
          <w:tab w:pos="767" w:val="left" w:leader="none"/>
        </w:tabs>
        <w:spacing w:line="278" w:lineRule="auto" w:before="43" w:after="0"/>
        <w:ind w:left="238" w:right="5752" w:firstLine="0"/>
        <w:jc w:val="left"/>
        <w:rPr>
          <w:b/>
          <w:sz w:val="21"/>
        </w:rPr>
      </w:pPr>
      <w:r>
        <w:rPr>
          <w:b/>
          <w:spacing w:val="-2"/>
          <w:sz w:val="21"/>
        </w:rPr>
        <w:t>作为器官捐献者而实施的肝切除手术。</w:t>
      </w:r>
      <w:r>
        <w:rPr>
          <w:b/>
          <w:spacing w:val="-2"/>
          <w:sz w:val="21"/>
        </w:rPr>
        <w:t>三十五、双侧睾丸切除术</w:t>
      </w:r>
    </w:p>
    <w:p>
      <w:pPr>
        <w:spacing w:line="278" w:lineRule="auto" w:before="0"/>
        <w:ind w:left="238" w:right="2720" w:firstLine="0"/>
        <w:jc w:val="left"/>
        <w:rPr>
          <w:b/>
          <w:sz w:val="21"/>
        </w:rPr>
      </w:pPr>
      <w:r>
        <w:rPr>
          <w:spacing w:val="-2"/>
          <w:sz w:val="21"/>
        </w:rPr>
        <w:t>指为治疗疾病实际接受了经腹部切开或腹腔镜进行的双侧睾丸完全切除手术。</w:t>
      </w:r>
      <w:r>
        <w:rPr>
          <w:b/>
          <w:spacing w:val="-2"/>
          <w:sz w:val="21"/>
        </w:rPr>
        <w:t>下列情况不在保障范围内：</w:t>
      </w:r>
    </w:p>
    <w:p>
      <w:pPr>
        <w:pStyle w:val="ListParagraph"/>
        <w:numPr>
          <w:ilvl w:val="0"/>
          <w:numId w:val="91"/>
        </w:numPr>
        <w:tabs>
          <w:tab w:pos="767" w:val="left" w:leader="none"/>
        </w:tabs>
        <w:spacing w:line="269" w:lineRule="exact" w:before="0" w:after="0"/>
        <w:ind w:left="767" w:right="0" w:hanging="529"/>
        <w:jc w:val="left"/>
        <w:rPr>
          <w:b/>
          <w:sz w:val="21"/>
        </w:rPr>
      </w:pPr>
      <w:r>
        <w:rPr>
          <w:b/>
          <w:spacing w:val="-2"/>
          <w:sz w:val="21"/>
        </w:rPr>
        <w:t>部分睾丸切除；</w:t>
      </w:r>
    </w:p>
    <w:p>
      <w:pPr>
        <w:pStyle w:val="ListParagraph"/>
        <w:numPr>
          <w:ilvl w:val="0"/>
          <w:numId w:val="91"/>
        </w:numPr>
        <w:tabs>
          <w:tab w:pos="767" w:val="left" w:leader="none"/>
        </w:tabs>
        <w:spacing w:line="240" w:lineRule="auto" w:before="43" w:after="0"/>
        <w:ind w:left="767" w:right="0" w:hanging="529"/>
        <w:jc w:val="left"/>
        <w:rPr>
          <w:b/>
          <w:sz w:val="21"/>
        </w:rPr>
      </w:pPr>
      <w:r>
        <w:rPr>
          <w:b/>
          <w:spacing w:val="-3"/>
          <w:sz w:val="21"/>
        </w:rPr>
        <w:t>因恶性肿瘤进行的睾丸切除术；</w:t>
      </w:r>
    </w:p>
    <w:p>
      <w:pPr>
        <w:pStyle w:val="ListParagraph"/>
        <w:numPr>
          <w:ilvl w:val="0"/>
          <w:numId w:val="91"/>
        </w:numPr>
        <w:tabs>
          <w:tab w:pos="767" w:val="left" w:leader="none"/>
        </w:tabs>
        <w:spacing w:line="278" w:lineRule="auto" w:before="43" w:after="0"/>
        <w:ind w:left="238" w:right="5121" w:firstLine="0"/>
        <w:jc w:val="left"/>
        <w:rPr>
          <w:b/>
          <w:sz w:val="21"/>
        </w:rPr>
      </w:pPr>
      <w:r>
        <w:rPr>
          <w:b/>
          <w:spacing w:val="-2"/>
          <w:sz w:val="21"/>
        </w:rPr>
        <w:t>因变性手术、预防性手术进行的睾丸切除术。</w:t>
      </w:r>
      <w:r>
        <w:rPr>
          <w:b/>
          <w:spacing w:val="-2"/>
          <w:sz w:val="21"/>
        </w:rPr>
        <w:t>三十六、双侧卵巢切除术</w:t>
      </w:r>
    </w:p>
    <w:p>
      <w:pPr>
        <w:spacing w:line="278" w:lineRule="auto" w:before="0"/>
        <w:ind w:left="238" w:right="2720" w:firstLine="0"/>
        <w:jc w:val="left"/>
        <w:rPr>
          <w:b/>
          <w:sz w:val="21"/>
        </w:rPr>
      </w:pPr>
      <w:r>
        <w:rPr>
          <w:spacing w:val="-2"/>
          <w:sz w:val="21"/>
        </w:rPr>
        <w:t>指为治疗疾病实际接受了经腹部切开或腹腔镜进行的双侧卵巢完全切除手术。</w:t>
      </w:r>
      <w:r>
        <w:rPr>
          <w:b/>
          <w:spacing w:val="-2"/>
          <w:sz w:val="21"/>
        </w:rPr>
        <w:t>下列情况不在保障范围内：</w:t>
      </w:r>
    </w:p>
    <w:p>
      <w:pPr>
        <w:pStyle w:val="ListParagraph"/>
        <w:numPr>
          <w:ilvl w:val="0"/>
          <w:numId w:val="92"/>
        </w:numPr>
        <w:tabs>
          <w:tab w:pos="767" w:val="left" w:leader="none"/>
        </w:tabs>
        <w:spacing w:line="269" w:lineRule="exact" w:before="0" w:after="0"/>
        <w:ind w:left="767" w:right="0" w:hanging="529"/>
        <w:jc w:val="left"/>
        <w:rPr>
          <w:b/>
          <w:sz w:val="21"/>
        </w:rPr>
      </w:pPr>
      <w:r>
        <w:rPr>
          <w:b/>
          <w:spacing w:val="-2"/>
          <w:sz w:val="21"/>
        </w:rPr>
        <w:t>部分卵巢切除；</w:t>
      </w:r>
    </w:p>
    <w:p>
      <w:pPr>
        <w:pStyle w:val="ListParagraph"/>
        <w:numPr>
          <w:ilvl w:val="0"/>
          <w:numId w:val="92"/>
        </w:numPr>
        <w:tabs>
          <w:tab w:pos="767" w:val="left" w:leader="none"/>
        </w:tabs>
        <w:spacing w:line="240" w:lineRule="auto" w:before="42" w:after="0"/>
        <w:ind w:left="767" w:right="0" w:hanging="529"/>
        <w:jc w:val="left"/>
        <w:rPr>
          <w:b/>
          <w:sz w:val="21"/>
        </w:rPr>
      </w:pPr>
      <w:r>
        <w:rPr>
          <w:b/>
          <w:spacing w:val="-3"/>
          <w:sz w:val="21"/>
        </w:rPr>
        <w:t>因恶性肿瘤进行的卵巢切除术；</w:t>
      </w:r>
    </w:p>
    <w:p>
      <w:pPr>
        <w:pStyle w:val="ListParagraph"/>
        <w:numPr>
          <w:ilvl w:val="0"/>
          <w:numId w:val="92"/>
        </w:numPr>
        <w:tabs>
          <w:tab w:pos="767" w:val="left" w:leader="none"/>
        </w:tabs>
        <w:spacing w:line="240" w:lineRule="auto" w:before="44" w:after="0"/>
        <w:ind w:left="767" w:right="0" w:hanging="529"/>
        <w:jc w:val="left"/>
        <w:rPr>
          <w:b/>
          <w:sz w:val="21"/>
        </w:rPr>
      </w:pPr>
      <w:r>
        <w:rPr>
          <w:b/>
          <w:spacing w:val="-2"/>
          <w:sz w:val="21"/>
        </w:rPr>
        <w:t>预防性卵巢切除；</w:t>
      </w:r>
    </w:p>
    <w:p>
      <w:pPr>
        <w:pStyle w:val="ListParagraph"/>
        <w:numPr>
          <w:ilvl w:val="0"/>
          <w:numId w:val="92"/>
        </w:numPr>
        <w:tabs>
          <w:tab w:pos="767" w:val="left" w:leader="none"/>
        </w:tabs>
        <w:spacing w:line="278" w:lineRule="auto" w:before="43" w:after="0"/>
        <w:ind w:left="238" w:right="6386" w:firstLine="0"/>
        <w:jc w:val="left"/>
        <w:rPr>
          <w:b/>
          <w:sz w:val="21"/>
        </w:rPr>
      </w:pPr>
      <w:r>
        <w:rPr>
          <w:b/>
          <w:spacing w:val="-2"/>
          <w:sz w:val="21"/>
        </w:rPr>
        <w:t>因变性手术进行的卵巢切除术。</w:t>
      </w:r>
      <w:r>
        <w:rPr>
          <w:b/>
          <w:spacing w:val="-2"/>
          <w:sz w:val="21"/>
        </w:rPr>
        <w:t>三十七、腔静脉过滤器植入术</w:t>
      </w:r>
    </w:p>
    <w:p>
      <w:pPr>
        <w:pStyle w:val="BodyText"/>
        <w:spacing w:line="278" w:lineRule="auto"/>
        <w:ind w:right="1548"/>
      </w:pPr>
      <w:r>
        <w:rPr>
          <w:spacing w:val="-4"/>
        </w:rPr>
        <w:t>指为治疗反复肺栓塞发作，抗凝血疗法无效，已经实施了腔静脉过滤器植入术。手术必须在</w:t>
      </w:r>
      <w:r>
        <w:rPr>
          <w:spacing w:val="-2"/>
        </w:rPr>
        <w:t>专科医生认为是医学上必须的情况下进行。</w:t>
      </w:r>
    </w:p>
    <w:p>
      <w:pPr>
        <w:pStyle w:val="Heading5"/>
        <w:spacing w:line="269" w:lineRule="exact"/>
      </w:pPr>
      <w:r>
        <w:rPr>
          <w:spacing w:val="-3"/>
        </w:rPr>
        <w:t>三十八、因肾上腺皮质腺瘤切除肾上腺</w:t>
      </w:r>
    </w:p>
    <w:p>
      <w:pPr>
        <w:spacing w:after="0" w:line="269" w:lineRule="exact"/>
        <w:sectPr>
          <w:pgSz w:w="11910" w:h="16840"/>
          <w:pgMar w:header="0" w:footer="1005" w:top="1400" w:bottom="1200" w:left="1560" w:right="240"/>
        </w:sectPr>
      </w:pPr>
    </w:p>
    <w:p>
      <w:pPr>
        <w:pStyle w:val="BodyText"/>
        <w:spacing w:line="278" w:lineRule="auto" w:before="44"/>
        <w:ind w:right="1549"/>
      </w:pPr>
      <w:r>
        <w:rPr>
          <w:spacing w:val="-3"/>
          <w:w w:val="100"/>
        </w:rPr>
        <w:t>因肾上腺皮质腺瘤所导致的醛固酮分泌过多而产生的继发性恶性高血压而实际接受了肾上</w:t>
      </w:r>
      <w:r>
        <w:rPr>
          <w:spacing w:val="-12"/>
          <w:w w:val="100"/>
        </w:rPr>
        <w:t>腺切除术治疗。诊断及治疗均须在本公司认可医院内由专科医生认为是医疗必须的情况下进行。</w:t>
      </w:r>
    </w:p>
    <w:p>
      <w:pPr>
        <w:pStyle w:val="Heading5"/>
      </w:pPr>
      <w:r>
        <w:rPr>
          <w:spacing w:val="-3"/>
        </w:rPr>
        <w:t>三十九、严重的骨质疏松</w:t>
      </w:r>
    </w:p>
    <w:p>
      <w:pPr>
        <w:pStyle w:val="BodyText"/>
        <w:spacing w:before="43"/>
      </w:pPr>
      <w:r>
        <w:rPr>
          <w:spacing w:val="-3"/>
        </w:rPr>
        <w:t>由本公司认可的医院的专科医生确诊为骨质疏松症合并骨折，并同时符合下列所有情况：</w:t>
      </w:r>
    </w:p>
    <w:p>
      <w:pPr>
        <w:pStyle w:val="ListParagraph"/>
        <w:numPr>
          <w:ilvl w:val="0"/>
          <w:numId w:val="93"/>
        </w:numPr>
        <w:tabs>
          <w:tab w:pos="767" w:val="left" w:leader="none"/>
        </w:tabs>
        <w:spacing w:line="240" w:lineRule="auto" w:before="43" w:after="0"/>
        <w:ind w:left="767" w:right="0" w:hanging="529"/>
        <w:jc w:val="left"/>
        <w:rPr>
          <w:sz w:val="21"/>
        </w:rPr>
      </w:pPr>
      <w:r>
        <w:rPr>
          <w:spacing w:val="-3"/>
          <w:sz w:val="21"/>
        </w:rPr>
        <w:t>因骨质疏松症导致或于骨质疏松症出现时，出现最少一处股骨颈骨折或两处脊椎骨折</w:t>
      </w:r>
    </w:p>
    <w:p>
      <w:pPr>
        <w:pStyle w:val="BodyText"/>
        <w:spacing w:before="43"/>
      </w:pPr>
      <w:r>
        <w:rPr>
          <w:spacing w:val="-2"/>
        </w:rPr>
        <w:t>（</w:t>
      </w:r>
      <w:r>
        <w:rPr>
          <w:spacing w:val="-4"/>
        </w:rPr>
        <w:t>如为压缩性骨折，须满足椎体高度或面积减少 </w:t>
      </w:r>
      <w:r>
        <w:rPr>
          <w:spacing w:val="-2"/>
        </w:rPr>
        <w:t>40%及以上</w:t>
      </w:r>
      <w:r>
        <w:rPr>
          <w:spacing w:val="-111"/>
        </w:rPr>
        <w:t>）</w:t>
      </w:r>
      <w:r>
        <w:rPr>
          <w:spacing w:val="-5"/>
        </w:rPr>
        <w:t>；</w:t>
      </w:r>
    </w:p>
    <w:p>
      <w:pPr>
        <w:pStyle w:val="ListParagraph"/>
        <w:numPr>
          <w:ilvl w:val="0"/>
          <w:numId w:val="93"/>
        </w:numPr>
        <w:tabs>
          <w:tab w:pos="767" w:val="left" w:leader="none"/>
        </w:tabs>
        <w:spacing w:line="278" w:lineRule="auto" w:before="43" w:after="0"/>
        <w:ind w:left="238" w:right="1565" w:firstLine="0"/>
        <w:jc w:val="left"/>
        <w:rPr>
          <w:sz w:val="21"/>
        </w:rPr>
      </w:pPr>
      <w:r>
        <w:rPr>
          <w:spacing w:val="12"/>
          <w:sz w:val="21"/>
        </w:rPr>
        <w:t>以双能量</w:t>
      </w:r>
      <w:r>
        <w:rPr>
          <w:sz w:val="21"/>
        </w:rPr>
        <w:t>X</w:t>
      </w:r>
      <w:r>
        <w:rPr>
          <w:spacing w:val="-11"/>
          <w:sz w:val="21"/>
        </w:rPr>
        <w:t> 光吸收仪或定量电脑断层扫描量度出最少 </w:t>
      </w:r>
      <w:r>
        <w:rPr>
          <w:sz w:val="21"/>
        </w:rPr>
        <w:t>2</w:t>
      </w:r>
      <w:r>
        <w:rPr>
          <w:spacing w:val="-8"/>
          <w:sz w:val="21"/>
        </w:rPr>
        <w:t> 处位置的骨骼矿物质密度与严</w:t>
      </w:r>
      <w:r>
        <w:rPr>
          <w:sz w:val="21"/>
        </w:rPr>
        <w:t>重骨质疏松症的定义一致（即低于-2.5</w:t>
      </w:r>
      <w:r>
        <w:rPr>
          <w:spacing w:val="-12"/>
          <w:sz w:val="21"/>
        </w:rPr>
        <w:t> 的 </w:t>
      </w:r>
      <w:r>
        <w:rPr>
          <w:sz w:val="21"/>
        </w:rPr>
        <w:t>T</w:t>
      </w:r>
      <w:r>
        <w:rPr>
          <w:spacing w:val="-7"/>
          <w:sz w:val="21"/>
        </w:rPr>
        <w:t> 数值</w:t>
      </w:r>
      <w:r>
        <w:rPr>
          <w:spacing w:val="-108"/>
          <w:sz w:val="21"/>
        </w:rPr>
        <w:t>）</w:t>
      </w:r>
      <w:r>
        <w:rPr>
          <w:sz w:val="21"/>
        </w:rPr>
        <w:t>；</w:t>
      </w:r>
    </w:p>
    <w:p>
      <w:pPr>
        <w:pStyle w:val="ListParagraph"/>
        <w:numPr>
          <w:ilvl w:val="0"/>
          <w:numId w:val="93"/>
        </w:numPr>
        <w:tabs>
          <w:tab w:pos="767" w:val="left" w:leader="none"/>
        </w:tabs>
        <w:spacing w:line="269" w:lineRule="exact" w:before="0" w:after="0"/>
        <w:ind w:left="767" w:right="0" w:hanging="529"/>
        <w:jc w:val="left"/>
        <w:rPr>
          <w:sz w:val="21"/>
        </w:rPr>
      </w:pPr>
      <w:r>
        <w:rPr>
          <w:spacing w:val="-3"/>
          <w:sz w:val="21"/>
        </w:rPr>
        <w:t>已经就骨折进行内部固定术或置换术治疗；</w:t>
      </w:r>
    </w:p>
    <w:p>
      <w:pPr>
        <w:pStyle w:val="ListParagraph"/>
        <w:numPr>
          <w:ilvl w:val="0"/>
          <w:numId w:val="93"/>
        </w:numPr>
        <w:tabs>
          <w:tab w:pos="767" w:val="left" w:leader="none"/>
        </w:tabs>
        <w:spacing w:line="278" w:lineRule="auto" w:before="43" w:after="0"/>
        <w:ind w:left="238" w:right="2194" w:firstLine="0"/>
        <w:jc w:val="left"/>
        <w:rPr>
          <w:b/>
          <w:sz w:val="21"/>
        </w:rPr>
      </w:pPr>
      <w:r>
        <w:rPr>
          <w:spacing w:val="-2"/>
          <w:sz w:val="21"/>
        </w:rPr>
        <w:t>诊断及治疗均须本公司认可医院内由专科医生认为是医疗必须的情况下进行。</w:t>
      </w:r>
      <w:r>
        <w:rPr>
          <w:b/>
          <w:spacing w:val="-2"/>
          <w:sz w:val="21"/>
        </w:rPr>
        <w:t>四十、植入大脑内分流器</w:t>
      </w:r>
    </w:p>
    <w:p>
      <w:pPr>
        <w:pStyle w:val="BodyText"/>
        <w:spacing w:line="269" w:lineRule="exact"/>
      </w:pPr>
      <w:r>
        <w:rPr>
          <w:spacing w:val="-3"/>
        </w:rPr>
        <w:t>为缓解已升高的脑脊液压力而确实已在脑室进行分流器植入手术。</w:t>
      </w:r>
    </w:p>
    <w:p>
      <w:pPr>
        <w:spacing w:line="278" w:lineRule="auto" w:before="43"/>
        <w:ind w:left="238" w:right="1669" w:firstLine="0"/>
        <w:jc w:val="left"/>
        <w:rPr>
          <w:b/>
          <w:sz w:val="21"/>
        </w:rPr>
      </w:pPr>
      <w:r>
        <w:rPr>
          <w:spacing w:val="-2"/>
          <w:sz w:val="21"/>
        </w:rPr>
        <w:t>诊断及治疗均须在本公司认可医院内由脑神经科专科医生认为是医疗必须的情况下进行。</w:t>
      </w:r>
      <w:r>
        <w:rPr>
          <w:b/>
          <w:spacing w:val="-2"/>
          <w:sz w:val="21"/>
        </w:rPr>
        <w:t>四十一、微创颅脑手术</w:t>
      </w:r>
    </w:p>
    <w:p>
      <w:pPr>
        <w:spacing w:line="278" w:lineRule="auto" w:before="0"/>
        <w:ind w:left="238" w:right="3140" w:firstLine="0"/>
        <w:jc w:val="left"/>
        <w:rPr>
          <w:b/>
          <w:sz w:val="21"/>
        </w:rPr>
      </w:pPr>
      <w:r>
        <w:rPr>
          <w:spacing w:val="-2"/>
          <w:sz w:val="21"/>
        </w:rPr>
        <w:t>因疾病被保险人确已实施全麻下的颅骨钻孔手术或者经鼻蝶窦入颅手术。</w:t>
      </w:r>
      <w:r>
        <w:rPr>
          <w:b/>
          <w:spacing w:val="-2"/>
          <w:sz w:val="21"/>
        </w:rPr>
        <w:t>因外伤而实施的脑外科手术不在保障范围内。</w:t>
      </w:r>
    </w:p>
    <w:p>
      <w:pPr>
        <w:pStyle w:val="Heading5"/>
        <w:spacing w:line="278" w:lineRule="auto"/>
        <w:ind w:right="1643"/>
      </w:pPr>
      <w:r>
        <w:rPr>
          <w:spacing w:val="-2"/>
        </w:rPr>
        <w:t>本公司对“微创颅脑手术”和“脑垂体瘤、脑囊肿、脑动脉瘤及脑血管瘤”两项中的其中</w:t>
      </w:r>
      <w:r>
        <w:rPr>
          <w:spacing w:val="-2"/>
        </w:rPr>
        <w:t>一项承担保险责任，给付其中一项保险金后，对另一项轻症疾病保险责任同时终止。</w:t>
      </w:r>
    </w:p>
    <w:p>
      <w:pPr>
        <w:spacing w:line="269" w:lineRule="exact" w:before="0"/>
        <w:ind w:left="238" w:right="0" w:firstLine="0"/>
        <w:jc w:val="left"/>
        <w:rPr>
          <w:b/>
          <w:sz w:val="21"/>
        </w:rPr>
      </w:pPr>
      <w:r>
        <w:rPr>
          <w:b/>
          <w:spacing w:val="-3"/>
          <w:sz w:val="21"/>
        </w:rPr>
        <w:t>四十二、特定周围动脉疾病的血管介入治疗</w:t>
      </w:r>
    </w:p>
    <w:p>
      <w:pPr>
        <w:pStyle w:val="BodyText"/>
        <w:spacing w:before="43"/>
      </w:pPr>
      <w:r>
        <w:rPr>
          <w:spacing w:val="-2"/>
        </w:rPr>
        <w:t>指为治疗一条或者一条以上的下</w:t>
      </w:r>
      <w:r>
        <w:rPr>
          <w:rFonts w:ascii="Dotum" w:eastAsia="Dotum"/>
          <w:spacing w:val="-2"/>
        </w:rPr>
        <w:t>列</w:t>
      </w:r>
      <w:r>
        <w:rPr>
          <w:spacing w:val="-3"/>
        </w:rPr>
        <w:t>动脉狭窄而实施的血管介入治疗：</w:t>
      </w:r>
    </w:p>
    <w:p>
      <w:pPr>
        <w:pStyle w:val="ListParagraph"/>
        <w:numPr>
          <w:ilvl w:val="0"/>
          <w:numId w:val="94"/>
        </w:numPr>
        <w:tabs>
          <w:tab w:pos="767" w:val="left" w:leader="none"/>
        </w:tabs>
        <w:spacing w:line="240" w:lineRule="auto" w:before="42" w:after="0"/>
        <w:ind w:left="767" w:right="0" w:hanging="529"/>
        <w:jc w:val="left"/>
        <w:rPr>
          <w:sz w:val="21"/>
        </w:rPr>
      </w:pPr>
      <w:r>
        <w:rPr>
          <w:spacing w:val="-3"/>
          <w:sz w:val="21"/>
        </w:rPr>
        <w:t>为下肢或者上肢供血的动脉；</w:t>
      </w:r>
    </w:p>
    <w:p>
      <w:pPr>
        <w:pStyle w:val="ListParagraph"/>
        <w:numPr>
          <w:ilvl w:val="0"/>
          <w:numId w:val="94"/>
        </w:numPr>
        <w:tabs>
          <w:tab w:pos="767" w:val="left" w:leader="none"/>
        </w:tabs>
        <w:spacing w:line="240" w:lineRule="auto" w:before="43" w:after="0"/>
        <w:ind w:left="767" w:right="0" w:hanging="529"/>
        <w:jc w:val="left"/>
        <w:rPr>
          <w:sz w:val="21"/>
        </w:rPr>
      </w:pPr>
      <w:r>
        <w:rPr>
          <w:spacing w:val="-4"/>
          <w:sz w:val="21"/>
        </w:rPr>
        <w:t>肾动脉；</w:t>
      </w:r>
    </w:p>
    <w:p>
      <w:pPr>
        <w:pStyle w:val="ListParagraph"/>
        <w:numPr>
          <w:ilvl w:val="0"/>
          <w:numId w:val="94"/>
        </w:numPr>
        <w:tabs>
          <w:tab w:pos="767" w:val="left" w:leader="none"/>
        </w:tabs>
        <w:spacing w:line="278" w:lineRule="auto" w:before="43" w:after="0"/>
        <w:ind w:left="238" w:right="7763" w:firstLine="0"/>
        <w:jc w:val="left"/>
        <w:rPr>
          <w:sz w:val="21"/>
        </w:rPr>
      </w:pPr>
      <w:r>
        <w:rPr>
          <w:spacing w:val="-2"/>
          <w:sz w:val="21"/>
        </w:rPr>
        <w:t>肠系膜动脉。</w:t>
      </w:r>
      <w:r>
        <w:rPr>
          <w:spacing w:val="105"/>
          <w:sz w:val="21"/>
        </w:rPr>
        <w:t> </w:t>
      </w:r>
      <w:r>
        <w:rPr>
          <w:spacing w:val="-3"/>
          <w:sz w:val="21"/>
        </w:rPr>
        <w:t>须满足下列全部条件：</w:t>
      </w:r>
    </w:p>
    <w:p>
      <w:pPr>
        <w:pStyle w:val="ListParagraph"/>
        <w:numPr>
          <w:ilvl w:val="0"/>
          <w:numId w:val="95"/>
        </w:numPr>
        <w:tabs>
          <w:tab w:pos="767" w:val="left" w:leader="none"/>
        </w:tabs>
        <w:spacing w:line="240" w:lineRule="auto" w:before="0" w:after="0"/>
        <w:ind w:left="767" w:right="0" w:hanging="529"/>
        <w:jc w:val="left"/>
        <w:rPr>
          <w:sz w:val="21"/>
        </w:rPr>
      </w:pPr>
      <w:r>
        <w:rPr>
          <w:spacing w:val="-4"/>
          <w:sz w:val="21"/>
        </w:rPr>
        <w:t>经血管造影术证实一条或者一条以上的上述动脉狭窄达到 </w:t>
      </w:r>
      <w:r>
        <w:rPr>
          <w:spacing w:val="-2"/>
          <w:sz w:val="21"/>
        </w:rPr>
        <w:t>50</w:t>
      </w:r>
      <w:r>
        <w:rPr>
          <w:spacing w:val="-4"/>
          <w:sz w:val="21"/>
        </w:rPr>
        <w:t>%或者以上；</w:t>
      </w:r>
    </w:p>
    <w:p>
      <w:pPr>
        <w:pStyle w:val="ListParagraph"/>
        <w:numPr>
          <w:ilvl w:val="0"/>
          <w:numId w:val="95"/>
        </w:numPr>
        <w:tabs>
          <w:tab w:pos="765" w:val="left" w:leader="none"/>
        </w:tabs>
        <w:spacing w:line="278" w:lineRule="auto" w:before="43" w:after="0"/>
        <w:ind w:left="238" w:right="1549" w:firstLine="0"/>
        <w:jc w:val="left"/>
        <w:rPr>
          <w:sz w:val="21"/>
        </w:rPr>
      </w:pPr>
      <w:r>
        <w:rPr>
          <w:spacing w:val="-2"/>
          <w:sz w:val="21"/>
        </w:rPr>
        <w:t>对一条或者一条以上的上述动脉施行了血管介入治疗，如血管成形术及/或者进行植入支架或者动脉粥样瘤清除手术；</w:t>
      </w:r>
    </w:p>
    <w:p>
      <w:pPr>
        <w:pStyle w:val="ListParagraph"/>
        <w:numPr>
          <w:ilvl w:val="0"/>
          <w:numId w:val="95"/>
        </w:numPr>
        <w:tabs>
          <w:tab w:pos="767" w:val="left" w:leader="none"/>
        </w:tabs>
        <w:spacing w:line="278" w:lineRule="auto" w:before="0" w:after="0"/>
        <w:ind w:left="238" w:right="1565" w:firstLine="0"/>
        <w:jc w:val="left"/>
        <w:rPr>
          <w:sz w:val="21"/>
        </w:rPr>
      </w:pPr>
      <w:r>
        <w:rPr>
          <w:spacing w:val="-2"/>
          <w:sz w:val="21"/>
        </w:rPr>
        <w:t>此诊断及治疗均须在本公司认可医院内由血管疾病的专科医生认为是医疗必须的情况</w:t>
      </w:r>
      <w:r>
        <w:rPr>
          <w:spacing w:val="-4"/>
          <w:sz w:val="21"/>
        </w:rPr>
        <w:t>下进行。</w:t>
      </w:r>
    </w:p>
    <w:p>
      <w:pPr>
        <w:pStyle w:val="Heading5"/>
        <w:spacing w:line="269" w:lineRule="exact"/>
      </w:pPr>
      <w:r>
        <w:rPr>
          <w:w w:val="95"/>
        </w:rPr>
        <w:t>四</w:t>
      </w:r>
      <w:r>
        <w:rPr>
          <w:w w:val="95"/>
        </w:rPr>
        <w:t>十</w:t>
      </w:r>
      <w:r>
        <w:rPr>
          <w:w w:val="95"/>
        </w:rPr>
        <w:t>三</w:t>
      </w:r>
      <w:r>
        <w:rPr>
          <w:w w:val="95"/>
        </w:rPr>
        <w:t>、</w:t>
      </w:r>
      <w:r>
        <w:rPr>
          <w:w w:val="95"/>
        </w:rPr>
        <w:t>深</w:t>
      </w:r>
      <w:r>
        <w:rPr>
          <w:w w:val="95"/>
        </w:rPr>
        <w:t>度</w:t>
      </w:r>
      <w:r>
        <w:rPr>
          <w:w w:val="95"/>
        </w:rPr>
        <w:t>昏</w:t>
      </w:r>
      <w:r>
        <w:rPr>
          <w:w w:val="95"/>
        </w:rPr>
        <w:t>迷</w:t>
      </w:r>
      <w:r>
        <w:rPr>
          <w:spacing w:val="-3"/>
        </w:rPr>
        <w:t> </w:t>
      </w:r>
      <w:r>
        <w:rPr>
          <w:w w:val="95"/>
        </w:rPr>
        <w:t>48</w:t>
      </w:r>
      <w:r>
        <w:rPr>
          <w:spacing w:val="-2"/>
        </w:rPr>
        <w:t> </w:t>
      </w:r>
      <w:r>
        <w:rPr>
          <w:w w:val="95"/>
        </w:rPr>
        <w:t>小</w:t>
      </w:r>
      <w:r>
        <w:rPr>
          <w:spacing w:val="-10"/>
          <w:w w:val="95"/>
        </w:rPr>
        <w:t>时</w:t>
      </w:r>
    </w:p>
    <w:p>
      <w:pPr>
        <w:pStyle w:val="BodyText"/>
        <w:spacing w:line="278" w:lineRule="auto" w:before="43"/>
        <w:ind w:right="1548"/>
      </w:pPr>
      <w:r>
        <w:rPr>
          <w:spacing w:val="-3"/>
          <w:w w:val="100"/>
        </w:rPr>
        <w:t>指因疾病或意外伤害导致意识丧失，对外界刺激和体内需求均无反应，昏迷程度按照格拉斯哥昏迷分级（</w:t>
      </w:r>
      <w:r>
        <w:rPr>
          <w:w w:val="100"/>
        </w:rPr>
        <w:t>Gla</w:t>
      </w:r>
      <w:r>
        <w:rPr>
          <w:spacing w:val="-3"/>
          <w:w w:val="100"/>
        </w:rPr>
        <w:t>s</w:t>
      </w:r>
      <w:r>
        <w:rPr>
          <w:w w:val="100"/>
        </w:rPr>
        <w:t>gow</w:t>
      </w:r>
      <w:r>
        <w:rPr>
          <w:spacing w:val="-46"/>
        </w:rPr>
        <w:t> </w:t>
      </w:r>
      <w:r>
        <w:rPr>
          <w:spacing w:val="-3"/>
          <w:w w:val="100"/>
        </w:rPr>
        <w:t>c</w:t>
      </w:r>
      <w:r>
        <w:rPr>
          <w:w w:val="100"/>
        </w:rPr>
        <w:t>oma</w:t>
      </w:r>
      <w:r>
        <w:rPr>
          <w:spacing w:val="-46"/>
        </w:rPr>
        <w:t> </w:t>
      </w:r>
      <w:r>
        <w:rPr>
          <w:w w:val="100"/>
        </w:rPr>
        <w:t>sca</w:t>
      </w:r>
      <w:r>
        <w:rPr>
          <w:spacing w:val="-3"/>
          <w:w w:val="100"/>
        </w:rPr>
        <w:t>l</w:t>
      </w:r>
      <w:r>
        <w:rPr>
          <w:w w:val="100"/>
        </w:rPr>
        <w:t>e</w:t>
      </w:r>
      <w:r>
        <w:rPr>
          <w:spacing w:val="-3"/>
          <w:w w:val="100"/>
        </w:rPr>
        <w:t>）</w:t>
      </w:r>
      <w:r>
        <w:rPr>
          <w:spacing w:val="-2"/>
          <w:w w:val="100"/>
        </w:rPr>
        <w:t>结果为</w:t>
      </w:r>
      <w:r>
        <w:rPr>
          <w:spacing w:val="-53"/>
        </w:rPr>
        <w:t> </w:t>
      </w:r>
      <w:r>
        <w:rPr>
          <w:w w:val="100"/>
        </w:rPr>
        <w:t>5</w:t>
      </w:r>
      <w:r>
        <w:rPr>
          <w:spacing w:val="-55"/>
        </w:rPr>
        <w:t> </w:t>
      </w:r>
      <w:r>
        <w:rPr>
          <w:w w:val="100"/>
        </w:rPr>
        <w:t>分或</w:t>
      </w:r>
      <w:r>
        <w:rPr>
          <w:spacing w:val="-55"/>
        </w:rPr>
        <w:t> </w:t>
      </w:r>
      <w:r>
        <w:rPr>
          <w:w w:val="100"/>
        </w:rPr>
        <w:t>5</w:t>
      </w:r>
      <w:r>
        <w:rPr>
          <w:spacing w:val="-52"/>
        </w:rPr>
        <w:t> </w:t>
      </w:r>
      <w:r>
        <w:rPr>
          <w:spacing w:val="-3"/>
          <w:w w:val="100"/>
        </w:rPr>
        <w:t>分以下，且已经持续使用呼吸机及其他生命维持系统达到</w:t>
      </w:r>
      <w:r>
        <w:rPr>
          <w:spacing w:val="-3"/>
        </w:rPr>
        <w:t> </w:t>
      </w:r>
      <w:r>
        <w:rPr>
          <w:w w:val="100"/>
        </w:rPr>
        <w:t>48</w:t>
      </w:r>
      <w:r>
        <w:rPr>
          <w:spacing w:val="-54"/>
        </w:rPr>
        <w:t> </w:t>
      </w:r>
      <w:r>
        <w:rPr>
          <w:spacing w:val="-3"/>
          <w:w w:val="100"/>
        </w:rPr>
        <w:t>小时。但未达到本合同重大疾病“深度昏迷”或中症疾病“深度</w:t>
      </w:r>
    </w:p>
    <w:p>
      <w:pPr>
        <w:pStyle w:val="BodyText"/>
        <w:spacing w:line="269" w:lineRule="exact"/>
      </w:pPr>
      <w:r>
        <w:rPr>
          <w:spacing w:val="-19"/>
        </w:rPr>
        <w:t>昏迷 </w:t>
      </w:r>
      <w:r>
        <w:rPr>
          <w:spacing w:val="-2"/>
        </w:rPr>
        <w:t>72</w:t>
      </w:r>
      <w:r>
        <w:rPr>
          <w:spacing w:val="-10"/>
        </w:rPr>
        <w:t> 小时”的给付标准。</w:t>
      </w:r>
    </w:p>
    <w:p>
      <w:pPr>
        <w:pStyle w:val="Heading5"/>
        <w:spacing w:line="278" w:lineRule="auto" w:before="43"/>
        <w:ind w:right="5018"/>
      </w:pPr>
      <w:r>
        <w:rPr>
          <w:spacing w:val="-2"/>
        </w:rPr>
        <w:t>因酗酒或药物滥用导致的深度昏迷不在保障范围内。</w:t>
      </w:r>
      <w:r>
        <w:rPr>
          <w:spacing w:val="-2"/>
        </w:rPr>
        <w:t>四十四、早期肝硬化</w:t>
      </w:r>
    </w:p>
    <w:p>
      <w:pPr>
        <w:pStyle w:val="BodyText"/>
        <w:spacing w:line="278" w:lineRule="auto"/>
        <w:ind w:right="1669"/>
      </w:pPr>
      <w:r>
        <w:rPr>
          <w:spacing w:val="-2"/>
        </w:rPr>
        <w:t>肝硬化须由专科医生明确诊断。必须由活检证实有再生的肝细胞结节和典型的肝组织纤维</w:t>
      </w:r>
      <w:r>
        <w:rPr>
          <w:spacing w:val="-2"/>
        </w:rPr>
        <w:t>化。下列条件必须全部满足并至少持续一年：</w:t>
      </w:r>
    </w:p>
    <w:p>
      <w:pPr>
        <w:pStyle w:val="ListParagraph"/>
        <w:numPr>
          <w:ilvl w:val="0"/>
          <w:numId w:val="96"/>
        </w:numPr>
        <w:tabs>
          <w:tab w:pos="767" w:val="left" w:leader="none"/>
        </w:tabs>
        <w:spacing w:line="269" w:lineRule="exact" w:before="0" w:after="0"/>
        <w:ind w:left="767" w:right="0" w:hanging="529"/>
        <w:jc w:val="left"/>
        <w:rPr>
          <w:sz w:val="21"/>
        </w:rPr>
      </w:pPr>
      <w:r>
        <w:rPr>
          <w:spacing w:val="-5"/>
          <w:sz w:val="21"/>
        </w:rPr>
        <w:t>持续性黄疸，胆红素水平升高超过 </w:t>
      </w:r>
      <w:r>
        <w:rPr>
          <w:spacing w:val="-2"/>
          <w:sz w:val="21"/>
        </w:rPr>
        <w:t>50</w:t>
      </w:r>
      <w:r>
        <w:rPr>
          <w:rFonts w:ascii="Times New Roman" w:hAnsi="Times New Roman" w:eastAsia="Times New Roman"/>
          <w:spacing w:val="-2"/>
          <w:sz w:val="21"/>
        </w:rPr>
        <w:t>μmol/L</w:t>
      </w:r>
      <w:r>
        <w:rPr>
          <w:spacing w:val="-2"/>
          <w:sz w:val="21"/>
        </w:rPr>
        <w:t>；</w:t>
      </w:r>
    </w:p>
    <w:p>
      <w:pPr>
        <w:pStyle w:val="ListParagraph"/>
        <w:numPr>
          <w:ilvl w:val="0"/>
          <w:numId w:val="96"/>
        </w:numPr>
        <w:tabs>
          <w:tab w:pos="767" w:val="left" w:leader="none"/>
        </w:tabs>
        <w:spacing w:line="240" w:lineRule="auto" w:before="43" w:after="0"/>
        <w:ind w:left="767" w:right="0" w:hanging="529"/>
        <w:jc w:val="left"/>
        <w:rPr>
          <w:sz w:val="21"/>
        </w:rPr>
      </w:pPr>
      <w:r>
        <w:rPr>
          <w:spacing w:val="-5"/>
          <w:sz w:val="21"/>
        </w:rPr>
        <w:t>蛋白质合成异常，白蛋白水平低于 </w:t>
      </w:r>
      <w:r>
        <w:rPr>
          <w:spacing w:val="-2"/>
          <w:sz w:val="21"/>
        </w:rPr>
        <w:t>27g/L；</w:t>
      </w:r>
    </w:p>
    <w:p>
      <w:pPr>
        <w:pStyle w:val="ListParagraph"/>
        <w:numPr>
          <w:ilvl w:val="0"/>
          <w:numId w:val="96"/>
        </w:numPr>
        <w:tabs>
          <w:tab w:pos="767" w:val="left" w:leader="none"/>
        </w:tabs>
        <w:spacing w:line="240" w:lineRule="auto" w:before="43" w:after="0"/>
        <w:ind w:left="767" w:right="0" w:hanging="529"/>
        <w:jc w:val="left"/>
        <w:rPr>
          <w:sz w:val="21"/>
        </w:rPr>
      </w:pPr>
      <w:r>
        <w:rPr>
          <w:spacing w:val="-7"/>
          <w:sz w:val="21"/>
        </w:rPr>
        <w:t>异常凝血功能，凝血酶原时间超过正常上限的 </w:t>
      </w:r>
      <w:r>
        <w:rPr>
          <w:spacing w:val="-6"/>
          <w:sz w:val="21"/>
        </w:rPr>
        <w:t>2</w:t>
      </w:r>
      <w:r>
        <w:rPr>
          <w:spacing w:val="-13"/>
          <w:sz w:val="21"/>
        </w:rPr>
        <w:t> 倍或以上，或者国际正常化比率</w:t>
      </w:r>
      <w:r>
        <w:rPr>
          <w:spacing w:val="-6"/>
          <w:sz w:val="21"/>
        </w:rPr>
        <w:t>（INR）</w:t>
      </w:r>
    </w:p>
    <w:p>
      <w:pPr>
        <w:pStyle w:val="BodyText"/>
        <w:spacing w:before="43"/>
      </w:pPr>
      <w:r>
        <w:rPr>
          <w:spacing w:val="-26"/>
        </w:rPr>
        <w:t>在 </w:t>
      </w:r>
      <w:r>
        <w:rPr>
          <w:spacing w:val="-2"/>
        </w:rPr>
        <w:t>2.0</w:t>
      </w:r>
      <w:r>
        <w:rPr>
          <w:spacing w:val="-16"/>
        </w:rPr>
        <w:t> 以上。</w:t>
      </w:r>
    </w:p>
    <w:p>
      <w:pPr>
        <w:spacing w:before="43"/>
        <w:ind w:left="238" w:right="0" w:firstLine="0"/>
        <w:jc w:val="left"/>
        <w:rPr>
          <w:b/>
          <w:sz w:val="21"/>
        </w:rPr>
      </w:pPr>
      <w:r>
        <w:rPr>
          <w:b/>
          <w:spacing w:val="-3"/>
          <w:sz w:val="21"/>
        </w:rPr>
        <w:t>因酗酒或药物滥用导致的早期肝硬化不在保障范围内。</w:t>
      </w:r>
    </w:p>
    <w:p>
      <w:pPr>
        <w:spacing w:after="0"/>
        <w:jc w:val="left"/>
        <w:rPr>
          <w:sz w:val="21"/>
        </w:rPr>
        <w:sectPr>
          <w:pgSz w:w="11910" w:h="16840"/>
          <w:pgMar w:header="0" w:footer="1005" w:top="1400" w:bottom="1200" w:left="1560" w:right="240"/>
        </w:sectPr>
      </w:pPr>
    </w:p>
    <w:p>
      <w:pPr>
        <w:spacing w:line="278" w:lineRule="auto" w:before="44"/>
        <w:ind w:left="238" w:right="1446" w:firstLine="0"/>
        <w:jc w:val="left"/>
        <w:rPr>
          <w:b/>
          <w:sz w:val="21"/>
        </w:rPr>
      </w:pPr>
      <w:r>
        <w:rPr>
          <w:b/>
          <w:spacing w:val="-2"/>
          <w:sz w:val="21"/>
        </w:rPr>
        <w:t>本公司对“病毒性肝炎导致的肝硬化”和“早期肝硬化”两项中的其中一项承担保险责任，</w:t>
      </w:r>
      <w:r>
        <w:rPr>
          <w:b/>
          <w:spacing w:val="-2"/>
          <w:sz w:val="21"/>
        </w:rPr>
        <w:t>给付其中一项保险金后，对另一项轻症疾病保险责任同时终止。</w:t>
      </w:r>
    </w:p>
    <w:p>
      <w:pPr>
        <w:spacing w:before="0"/>
        <w:ind w:left="238" w:right="0" w:firstLine="0"/>
        <w:jc w:val="left"/>
        <w:rPr>
          <w:b/>
          <w:sz w:val="21"/>
        </w:rPr>
      </w:pPr>
      <w:r>
        <w:rPr>
          <w:b/>
          <w:spacing w:val="-3"/>
          <w:sz w:val="21"/>
        </w:rPr>
        <w:t>四十五、可逆性再生障碍性贫血</w:t>
      </w:r>
    </w:p>
    <w:p>
      <w:pPr>
        <w:pStyle w:val="BodyText"/>
        <w:spacing w:line="278" w:lineRule="auto" w:before="43"/>
        <w:ind w:right="1669"/>
      </w:pPr>
      <w:r>
        <w:rPr>
          <w:spacing w:val="-2"/>
        </w:rPr>
        <w:t>指因急性可逆性的骨髓造血功能衰竭而导致贫血、中性粒细胞减少和血小板减少，必须由</w:t>
      </w:r>
      <w:r>
        <w:rPr>
          <w:spacing w:val="-2"/>
        </w:rPr>
        <w:t>专科医生的诊断，且病历资料显示接受了下列任一治疗：</w:t>
      </w:r>
    </w:p>
    <w:p>
      <w:pPr>
        <w:pStyle w:val="ListParagraph"/>
        <w:numPr>
          <w:ilvl w:val="0"/>
          <w:numId w:val="97"/>
        </w:numPr>
        <w:tabs>
          <w:tab w:pos="767" w:val="left" w:leader="none"/>
        </w:tabs>
        <w:spacing w:line="269" w:lineRule="exact" w:before="0" w:after="0"/>
        <w:ind w:left="767" w:right="0" w:hanging="529"/>
        <w:jc w:val="left"/>
        <w:rPr>
          <w:sz w:val="21"/>
        </w:rPr>
      </w:pPr>
      <w:r>
        <w:rPr>
          <w:spacing w:val="-3"/>
          <w:sz w:val="21"/>
        </w:rPr>
        <w:t>骨髓刺激疗法至少一个月；</w:t>
      </w:r>
    </w:p>
    <w:p>
      <w:pPr>
        <w:pStyle w:val="ListParagraph"/>
        <w:numPr>
          <w:ilvl w:val="0"/>
          <w:numId w:val="97"/>
        </w:numPr>
        <w:tabs>
          <w:tab w:pos="767" w:val="left" w:leader="none"/>
        </w:tabs>
        <w:spacing w:line="240" w:lineRule="auto" w:before="43" w:after="0"/>
        <w:ind w:left="767" w:right="0" w:hanging="529"/>
        <w:jc w:val="left"/>
        <w:rPr>
          <w:sz w:val="21"/>
        </w:rPr>
      </w:pPr>
      <w:r>
        <w:rPr>
          <w:spacing w:val="-3"/>
          <w:sz w:val="21"/>
        </w:rPr>
        <w:t>免疫抑制剂治疗至少一个月；</w:t>
      </w:r>
    </w:p>
    <w:p>
      <w:pPr>
        <w:pStyle w:val="ListParagraph"/>
        <w:numPr>
          <w:ilvl w:val="0"/>
          <w:numId w:val="97"/>
        </w:numPr>
        <w:tabs>
          <w:tab w:pos="767" w:val="left" w:leader="none"/>
        </w:tabs>
        <w:spacing w:line="278" w:lineRule="auto" w:before="43" w:after="0"/>
        <w:ind w:left="238" w:right="7658" w:firstLine="0"/>
        <w:jc w:val="left"/>
        <w:rPr>
          <w:b/>
          <w:sz w:val="21"/>
        </w:rPr>
      </w:pPr>
      <w:r>
        <w:rPr>
          <w:spacing w:val="-2"/>
          <w:sz w:val="21"/>
        </w:rPr>
        <w:t>接受了骨髓移植。</w:t>
      </w:r>
      <w:r>
        <w:rPr>
          <w:b/>
          <w:spacing w:val="-2"/>
          <w:sz w:val="21"/>
        </w:rPr>
        <w:t>四十六、多发肋骨骨折</w:t>
      </w:r>
    </w:p>
    <w:p>
      <w:pPr>
        <w:spacing w:line="278" w:lineRule="auto" w:before="0"/>
        <w:ind w:left="238" w:right="1558" w:firstLine="0"/>
        <w:jc w:val="left"/>
        <w:rPr>
          <w:b/>
          <w:sz w:val="21"/>
        </w:rPr>
      </w:pPr>
      <w:r>
        <w:rPr>
          <w:spacing w:val="-3"/>
          <w:sz w:val="21"/>
        </w:rPr>
        <w:t>因一次意外伤害事故导致胸部损伤同时大于等于 </w:t>
      </w:r>
      <w:r>
        <w:rPr>
          <w:sz w:val="21"/>
        </w:rPr>
        <w:t>12</w:t>
      </w:r>
      <w:r>
        <w:rPr>
          <w:spacing w:val="-9"/>
          <w:sz w:val="21"/>
        </w:rPr>
        <w:t> 根肋骨骨折，</w:t>
      </w:r>
      <w:r>
        <w:rPr>
          <w:b/>
          <w:sz w:val="21"/>
        </w:rPr>
        <w:t>陈旧性骨折不在保障范围</w:t>
      </w:r>
      <w:r>
        <w:rPr>
          <w:b/>
          <w:spacing w:val="-4"/>
          <w:sz w:val="21"/>
        </w:rPr>
        <w:t>之内。</w:t>
      </w:r>
    </w:p>
    <w:p>
      <w:pPr>
        <w:pStyle w:val="Heading5"/>
        <w:spacing w:line="269" w:lineRule="exact"/>
      </w:pPr>
      <w:r>
        <w:rPr>
          <w:spacing w:val="-3"/>
        </w:rPr>
        <w:t>四十七、无颅内压增高的微小良性脑肿瘤</w:t>
      </w:r>
    </w:p>
    <w:p>
      <w:pPr>
        <w:pStyle w:val="BodyText"/>
        <w:spacing w:line="278" w:lineRule="auto" w:before="43"/>
        <w:ind w:right="1563"/>
        <w:jc w:val="both"/>
      </w:pPr>
      <w:r>
        <w:rPr>
          <w:spacing w:val="-3"/>
        </w:rPr>
        <w:t>指直径小于 </w:t>
      </w:r>
      <w:r>
        <w:rPr/>
        <w:t>2cm</w:t>
      </w:r>
      <w:r>
        <w:rPr>
          <w:spacing w:val="-4"/>
        </w:rPr>
        <w:t> 的脑的微小良性肿瘤，临床上无颅内压升高表现，无危及生命征象。微小</w:t>
      </w:r>
      <w:r>
        <w:rPr>
          <w:spacing w:val="-4"/>
        </w:rPr>
        <w:t>良性脑肿瘤由头颅断层扫描（CT）、核磁共振检查（MRI）或正电子发射断层扫描（PET）等</w:t>
      </w:r>
      <w:r>
        <w:rPr>
          <w:spacing w:val="-2"/>
        </w:rPr>
        <w:t>影像学检查证实，并实际接受了手术或放射治疗。</w:t>
      </w:r>
    </w:p>
    <w:p>
      <w:pPr>
        <w:spacing w:line="278" w:lineRule="auto" w:before="0"/>
        <w:ind w:left="238" w:right="3980" w:firstLine="0"/>
        <w:jc w:val="left"/>
        <w:rPr>
          <w:b/>
          <w:sz w:val="21"/>
        </w:rPr>
      </w:pPr>
      <w:r>
        <w:rPr>
          <w:spacing w:val="-2"/>
          <w:sz w:val="21"/>
        </w:rPr>
        <w:t>脑垂体瘤、脑囊肿、脑动脉瘤及脑血管瘤不在本保障范围之内。</w:t>
      </w:r>
      <w:r>
        <w:rPr>
          <w:b/>
          <w:spacing w:val="-2"/>
          <w:sz w:val="21"/>
        </w:rPr>
        <w:t>四十八、糖尿病视网膜晚期增生性病变</w:t>
      </w:r>
    </w:p>
    <w:p>
      <w:pPr>
        <w:pStyle w:val="BodyText"/>
        <w:spacing w:line="269" w:lineRule="exact"/>
      </w:pPr>
      <w:r>
        <w:rPr>
          <w:spacing w:val="-3"/>
        </w:rPr>
        <w:t>因糖尿病而并发视网膜晚期增生性血管病变，并必须符合下列所有理赔条件：</w:t>
      </w:r>
    </w:p>
    <w:p>
      <w:pPr>
        <w:pStyle w:val="ListParagraph"/>
        <w:numPr>
          <w:ilvl w:val="0"/>
          <w:numId w:val="98"/>
        </w:numPr>
        <w:tabs>
          <w:tab w:pos="767" w:val="left" w:leader="none"/>
        </w:tabs>
        <w:spacing w:line="240" w:lineRule="auto" w:before="43" w:after="0"/>
        <w:ind w:left="767" w:right="0" w:hanging="529"/>
        <w:jc w:val="left"/>
        <w:rPr>
          <w:sz w:val="21"/>
        </w:rPr>
      </w:pPr>
      <w:r>
        <w:rPr>
          <w:spacing w:val="-3"/>
          <w:sz w:val="21"/>
        </w:rPr>
        <w:t>确诊糖尿病视网膜病变时被保险人已患有糖尿病；</w:t>
      </w:r>
    </w:p>
    <w:p>
      <w:pPr>
        <w:pStyle w:val="ListParagraph"/>
        <w:numPr>
          <w:ilvl w:val="0"/>
          <w:numId w:val="98"/>
        </w:numPr>
        <w:tabs>
          <w:tab w:pos="767" w:val="left" w:leader="none"/>
        </w:tabs>
        <w:spacing w:line="240" w:lineRule="auto" w:before="43" w:after="0"/>
        <w:ind w:left="767" w:right="0" w:hanging="529"/>
        <w:jc w:val="left"/>
        <w:rPr>
          <w:sz w:val="21"/>
        </w:rPr>
      </w:pPr>
      <w:r>
        <w:rPr>
          <w:spacing w:val="-4"/>
          <w:sz w:val="21"/>
        </w:rPr>
        <w:t>双眼最佳矫正视力低于0.3（采用国际标准视力表，如果使用其他视力表应进行换算</w:t>
      </w:r>
      <w:r>
        <w:rPr>
          <w:spacing w:val="-111"/>
          <w:sz w:val="21"/>
        </w:rPr>
        <w:t>）</w:t>
      </w:r>
      <w:r>
        <w:rPr>
          <w:spacing w:val="-5"/>
          <w:sz w:val="21"/>
        </w:rPr>
        <w:t>；</w:t>
      </w:r>
    </w:p>
    <w:p>
      <w:pPr>
        <w:pStyle w:val="ListParagraph"/>
        <w:numPr>
          <w:ilvl w:val="0"/>
          <w:numId w:val="98"/>
        </w:numPr>
        <w:tabs>
          <w:tab w:pos="767" w:val="left" w:leader="none"/>
        </w:tabs>
        <w:spacing w:line="240" w:lineRule="auto" w:before="43" w:after="0"/>
        <w:ind w:left="767" w:right="0" w:hanging="529"/>
        <w:jc w:val="left"/>
        <w:rPr>
          <w:sz w:val="21"/>
        </w:rPr>
      </w:pPr>
      <w:r>
        <w:rPr>
          <w:spacing w:val="-3"/>
          <w:sz w:val="21"/>
        </w:rPr>
        <w:t>被保险人已确实进行了激光治疗等以改善视力障碍；</w:t>
      </w:r>
    </w:p>
    <w:p>
      <w:pPr>
        <w:pStyle w:val="ListParagraph"/>
        <w:numPr>
          <w:ilvl w:val="0"/>
          <w:numId w:val="98"/>
        </w:numPr>
        <w:tabs>
          <w:tab w:pos="767" w:val="left" w:leader="none"/>
        </w:tabs>
        <w:spacing w:line="278" w:lineRule="auto" w:before="43" w:after="0"/>
        <w:ind w:left="238" w:right="1549" w:firstLine="0"/>
        <w:jc w:val="left"/>
        <w:rPr>
          <w:sz w:val="21"/>
        </w:rPr>
      </w:pPr>
      <w:r>
        <w:rPr>
          <w:spacing w:val="-2"/>
          <w:sz w:val="21"/>
        </w:rPr>
        <w:t>糖尿病视网膜病变的诊断、视力障碍的程度及治疗的医疗之必要性必须由本公司认可</w:t>
      </w:r>
      <w:r>
        <w:rPr>
          <w:spacing w:val="-2"/>
          <w:sz w:val="21"/>
        </w:rPr>
        <w:t>的医院的眼科专科医生确定。</w:t>
      </w:r>
    </w:p>
    <w:p>
      <w:pPr>
        <w:pStyle w:val="Heading5"/>
        <w:spacing w:line="278" w:lineRule="auto"/>
        <w:ind w:right="1444"/>
      </w:pPr>
      <w:r>
        <w:rPr>
          <w:spacing w:val="-24"/>
        </w:rPr>
        <w:t>本公司对“视力严重受损”、“糖尿病视网膜晚期增生性病变”、“单目失明”和“角膜移植”</w:t>
      </w:r>
      <w:r>
        <w:rPr>
          <w:spacing w:val="-2"/>
        </w:rPr>
        <w:t>四项中的其中一项承担保险责任，给付其中一项保险金后，对其他两项轻症疾病保险责任</w:t>
      </w:r>
      <w:r>
        <w:rPr>
          <w:spacing w:val="40"/>
        </w:rPr>
        <w:t> </w:t>
      </w:r>
      <w:r>
        <w:rPr>
          <w:spacing w:val="-2"/>
        </w:rPr>
        <w:t>同时终止。</w:t>
      </w:r>
    </w:p>
    <w:p>
      <w:pPr>
        <w:spacing w:before="0"/>
        <w:ind w:left="238" w:right="0" w:firstLine="0"/>
        <w:jc w:val="left"/>
        <w:rPr>
          <w:b/>
          <w:sz w:val="21"/>
        </w:rPr>
      </w:pPr>
      <w:r>
        <w:rPr>
          <w:b/>
          <w:spacing w:val="-3"/>
          <w:sz w:val="21"/>
        </w:rPr>
        <w:t>四十九、中度感染性心内膜炎</w:t>
      </w:r>
    </w:p>
    <w:p>
      <w:pPr>
        <w:pStyle w:val="BodyText"/>
        <w:spacing w:line="278" w:lineRule="auto" w:before="43"/>
        <w:ind w:right="1551"/>
      </w:pPr>
      <w:r>
        <w:rPr>
          <w:spacing w:val="-4"/>
        </w:rPr>
        <w:t>指因感染性微生物造成心脏内膜炎症，并且累及心脏瓣膜，导致心脏瓣膜病变，必须满足下</w:t>
      </w:r>
      <w:r>
        <w:rPr>
          <w:spacing w:val="-2"/>
        </w:rPr>
        <w:t>列全部条件：</w:t>
      </w:r>
    </w:p>
    <w:p>
      <w:pPr>
        <w:pStyle w:val="ListParagraph"/>
        <w:numPr>
          <w:ilvl w:val="0"/>
          <w:numId w:val="99"/>
        </w:numPr>
        <w:tabs>
          <w:tab w:pos="767" w:val="left" w:leader="none"/>
        </w:tabs>
        <w:spacing w:line="269" w:lineRule="exact" w:before="0" w:after="0"/>
        <w:ind w:left="767" w:right="0" w:hanging="529"/>
        <w:jc w:val="left"/>
        <w:rPr>
          <w:sz w:val="21"/>
        </w:rPr>
      </w:pPr>
      <w:r>
        <w:rPr>
          <w:spacing w:val="-3"/>
          <w:sz w:val="21"/>
        </w:rPr>
        <w:t>急性或亚急性感染性心内膜炎的临床表现；</w:t>
      </w:r>
    </w:p>
    <w:p>
      <w:pPr>
        <w:pStyle w:val="ListParagraph"/>
        <w:numPr>
          <w:ilvl w:val="0"/>
          <w:numId w:val="99"/>
        </w:numPr>
        <w:tabs>
          <w:tab w:pos="767" w:val="left" w:leader="none"/>
        </w:tabs>
        <w:spacing w:line="240" w:lineRule="auto" w:before="43" w:after="0"/>
        <w:ind w:left="767" w:right="0" w:hanging="529"/>
        <w:jc w:val="left"/>
        <w:rPr>
          <w:sz w:val="21"/>
        </w:rPr>
      </w:pPr>
      <w:r>
        <w:rPr>
          <w:spacing w:val="-3"/>
          <w:sz w:val="21"/>
        </w:rPr>
        <w:t>血液培养测试结果阳性，证实存在感染性微生物；</w:t>
      </w:r>
    </w:p>
    <w:p>
      <w:pPr>
        <w:pStyle w:val="ListParagraph"/>
        <w:numPr>
          <w:ilvl w:val="0"/>
          <w:numId w:val="99"/>
        </w:numPr>
        <w:tabs>
          <w:tab w:pos="765" w:val="left" w:leader="none"/>
        </w:tabs>
        <w:spacing w:line="278" w:lineRule="auto" w:before="42" w:after="0"/>
        <w:ind w:left="238" w:right="1551" w:firstLine="0"/>
        <w:jc w:val="left"/>
        <w:rPr>
          <w:sz w:val="21"/>
        </w:rPr>
      </w:pPr>
      <w:r>
        <w:rPr>
          <w:spacing w:val="-2"/>
          <w:sz w:val="21"/>
        </w:rPr>
        <w:t>因心内膜炎引起中度心脏瓣膜闭锁不全（</w:t>
      </w:r>
      <w:r>
        <w:rPr>
          <w:spacing w:val="-4"/>
          <w:sz w:val="21"/>
        </w:rPr>
        <w:t>指返流分数 </w:t>
      </w:r>
      <w:r>
        <w:rPr>
          <w:rFonts w:ascii="Times New Roman" w:eastAsia="Times New Roman"/>
          <w:spacing w:val="-2"/>
          <w:sz w:val="21"/>
        </w:rPr>
        <w:t>10%</w:t>
      </w:r>
      <w:r>
        <w:rPr>
          <w:spacing w:val="-2"/>
          <w:sz w:val="21"/>
        </w:rPr>
        <w:t>或以上）或中度心脏瓣膜狭</w:t>
      </w:r>
      <w:r>
        <w:rPr>
          <w:sz w:val="21"/>
        </w:rPr>
        <w:t>窄（指心脏瓣膜开口范围少于或等于正常的 </w:t>
      </w:r>
      <w:r>
        <w:rPr>
          <w:rFonts w:ascii="Times New Roman" w:eastAsia="Times New Roman"/>
          <w:spacing w:val="25"/>
          <w:sz w:val="21"/>
        </w:rPr>
        <w:t>5</w:t>
      </w:r>
      <w:r>
        <w:rPr>
          <w:rFonts w:ascii="Times New Roman" w:eastAsia="Times New Roman"/>
          <w:spacing w:val="28"/>
          <w:sz w:val="21"/>
        </w:rPr>
        <w:t>0</w:t>
      </w:r>
      <w:r>
        <w:rPr>
          <w:rFonts w:ascii="Times New Roman" w:eastAsia="Times New Roman"/>
          <w:spacing w:val="27"/>
          <w:sz w:val="21"/>
        </w:rPr>
        <w:t>%</w:t>
      </w:r>
      <w:r>
        <w:rPr>
          <w:spacing w:val="-80"/>
          <w:sz w:val="21"/>
        </w:rPr>
        <w:t>）</w:t>
      </w:r>
      <w:r>
        <w:rPr>
          <w:spacing w:val="-108"/>
          <w:sz w:val="21"/>
        </w:rPr>
        <w:t>。</w:t>
      </w:r>
    </w:p>
    <w:p>
      <w:pPr>
        <w:pStyle w:val="Heading5"/>
        <w:spacing w:line="278" w:lineRule="auto"/>
        <w:ind w:right="1446"/>
      </w:pPr>
      <w:r>
        <w:rPr>
          <w:spacing w:val="-2"/>
        </w:rPr>
        <w:t>若被保险人已符合本合同所指的重大疾病“感染性心内膜炎”标准的，则不在保障范围内。</w:t>
      </w:r>
      <w:r>
        <w:rPr>
          <w:spacing w:val="-2"/>
        </w:rPr>
        <w:t>五十、急性肾衰竭肾脏透析治疗</w:t>
      </w:r>
    </w:p>
    <w:p>
      <w:pPr>
        <w:pStyle w:val="BodyText"/>
        <w:spacing w:line="278" w:lineRule="auto"/>
        <w:ind w:right="1443"/>
      </w:pPr>
      <w:r>
        <w:rPr>
          <w:spacing w:val="-4"/>
        </w:rPr>
        <w:t>急性肾衰竭（ARF）是指各种病因引起的肾功能在短期内（数小时或数周）急剧进行性下降，</w:t>
      </w:r>
      <w:r>
        <w:rPr>
          <w:spacing w:val="-2"/>
        </w:rPr>
        <w:t>导致体内氮质产物潴留而出现的临床综合征，国际上近年来改称为急性肾损伤</w:t>
      </w:r>
      <w:r>
        <w:rPr>
          <w:spacing w:val="19"/>
        </w:rPr>
        <w:t>（</w:t>
      </w:r>
      <w:r>
        <w:rPr>
          <w:spacing w:val="17"/>
        </w:rPr>
        <w:t>A</w:t>
      </w:r>
      <w:r>
        <w:rPr>
          <w:spacing w:val="20"/>
        </w:rPr>
        <w:t>KI</w:t>
      </w:r>
      <w:r>
        <w:rPr>
          <w:spacing w:val="-88"/>
        </w:rPr>
        <w:t>）</w:t>
      </w:r>
      <w:r>
        <w:rPr>
          <w:spacing w:val="-2"/>
        </w:rPr>
        <w:t>。被保</w:t>
      </w:r>
      <w:r>
        <w:rPr>
          <w:spacing w:val="-2"/>
        </w:rPr>
        <w:t>险人被明确诊断为急性肾衰竭并且满足下列所有条件：</w:t>
      </w:r>
    </w:p>
    <w:p>
      <w:pPr>
        <w:pStyle w:val="ListParagraph"/>
        <w:numPr>
          <w:ilvl w:val="0"/>
          <w:numId w:val="100"/>
        </w:numPr>
        <w:tabs>
          <w:tab w:pos="767" w:val="left" w:leader="none"/>
        </w:tabs>
        <w:spacing w:line="240" w:lineRule="auto" w:before="0" w:after="0"/>
        <w:ind w:left="767" w:right="0" w:hanging="529"/>
        <w:jc w:val="left"/>
        <w:rPr>
          <w:sz w:val="21"/>
        </w:rPr>
      </w:pPr>
      <w:r>
        <w:rPr>
          <w:spacing w:val="-11"/>
          <w:sz w:val="21"/>
        </w:rPr>
        <w:t>少尿或无尿 </w:t>
      </w:r>
      <w:r>
        <w:rPr>
          <w:spacing w:val="-2"/>
          <w:sz w:val="21"/>
        </w:rPr>
        <w:t>2</w:t>
      </w:r>
      <w:r>
        <w:rPr>
          <w:spacing w:val="-14"/>
          <w:sz w:val="21"/>
        </w:rPr>
        <w:t> 天以上；</w:t>
      </w:r>
    </w:p>
    <w:p>
      <w:pPr>
        <w:pStyle w:val="ListParagraph"/>
        <w:numPr>
          <w:ilvl w:val="0"/>
          <w:numId w:val="100"/>
        </w:numPr>
        <w:tabs>
          <w:tab w:pos="767" w:val="left" w:leader="none"/>
        </w:tabs>
        <w:spacing w:line="240" w:lineRule="auto" w:before="43" w:after="0"/>
        <w:ind w:left="767" w:right="0" w:hanging="529"/>
        <w:jc w:val="left"/>
        <w:rPr>
          <w:sz w:val="21"/>
        </w:rPr>
      </w:pPr>
      <w:r>
        <w:rPr>
          <w:spacing w:val="-2"/>
          <w:sz w:val="21"/>
        </w:rPr>
        <w:t>血肌酐（Scr）&gt;5mg/dl</w:t>
      </w:r>
      <w:r>
        <w:rPr>
          <w:spacing w:val="-14"/>
          <w:sz w:val="21"/>
        </w:rPr>
        <w:t> 或&gt;</w:t>
      </w:r>
      <w:r>
        <w:rPr>
          <w:spacing w:val="-2"/>
          <w:sz w:val="21"/>
        </w:rPr>
        <w:t>442</w:t>
      </w:r>
      <w:r>
        <w:rPr>
          <w:rFonts w:ascii="Times New Roman" w:hAnsi="Times New Roman" w:eastAsia="Times New Roman"/>
          <w:spacing w:val="-2"/>
          <w:sz w:val="21"/>
        </w:rPr>
        <w:t>μmol/L</w:t>
      </w:r>
      <w:r>
        <w:rPr>
          <w:spacing w:val="-2"/>
          <w:sz w:val="21"/>
        </w:rPr>
        <w:t>；</w:t>
      </w:r>
    </w:p>
    <w:p>
      <w:pPr>
        <w:pStyle w:val="ListParagraph"/>
        <w:numPr>
          <w:ilvl w:val="0"/>
          <w:numId w:val="100"/>
        </w:numPr>
        <w:tabs>
          <w:tab w:pos="767" w:val="left" w:leader="none"/>
        </w:tabs>
        <w:spacing w:line="240" w:lineRule="auto" w:before="43" w:after="0"/>
        <w:ind w:left="767" w:right="0" w:hanging="529"/>
        <w:jc w:val="left"/>
        <w:rPr>
          <w:sz w:val="21"/>
        </w:rPr>
      </w:pPr>
      <w:r>
        <w:rPr>
          <w:spacing w:val="-2"/>
          <w:sz w:val="21"/>
        </w:rPr>
        <w:t>血钾&gt;6.5mmol/L；</w:t>
      </w:r>
    </w:p>
    <w:p>
      <w:pPr>
        <w:pStyle w:val="ListParagraph"/>
        <w:numPr>
          <w:ilvl w:val="0"/>
          <w:numId w:val="100"/>
        </w:numPr>
        <w:tabs>
          <w:tab w:pos="767" w:val="left" w:leader="none"/>
        </w:tabs>
        <w:spacing w:line="240" w:lineRule="auto" w:before="43" w:after="0"/>
        <w:ind w:left="767" w:right="0" w:hanging="529"/>
        <w:jc w:val="left"/>
        <w:rPr>
          <w:sz w:val="21"/>
        </w:rPr>
      </w:pPr>
      <w:r>
        <w:rPr>
          <w:spacing w:val="-3"/>
          <w:sz w:val="21"/>
        </w:rPr>
        <w:t>接受了血液透析治疗。</w:t>
      </w:r>
    </w:p>
    <w:p>
      <w:pPr>
        <w:spacing w:after="0" w:line="240" w:lineRule="auto"/>
        <w:jc w:val="left"/>
        <w:rPr>
          <w:sz w:val="21"/>
        </w:rPr>
        <w:sectPr>
          <w:pgSz w:w="11910" w:h="16840"/>
          <w:pgMar w:header="0" w:footer="1005" w:top="1400" w:bottom="1200" w:left="1560" w:right="240"/>
        </w:sectPr>
      </w:pPr>
    </w:p>
    <w:p>
      <w:pPr>
        <w:pStyle w:val="BodyText"/>
        <w:spacing w:before="44"/>
      </w:pPr>
      <w:r>
        <w:rPr>
          <w:spacing w:val="-4"/>
        </w:rPr>
        <w:t>附表四：</w:t>
      </w:r>
    </w:p>
    <w:p>
      <w:pPr>
        <w:spacing w:line="240" w:lineRule="auto" w:before="3"/>
        <w:rPr>
          <w:sz w:val="35"/>
        </w:rPr>
      </w:pPr>
      <w:r>
        <w:rPr/>
        <w:br w:type="column"/>
      </w:r>
      <w:r>
        <w:rPr>
          <w:sz w:val="35"/>
        </w:rPr>
      </w:r>
    </w:p>
    <w:p>
      <w:pPr>
        <w:pStyle w:val="Heading1"/>
      </w:pPr>
      <w:r>
        <w:rPr>
          <w:spacing w:val="-2"/>
          <w:w w:val="95"/>
        </w:rPr>
        <w:t>特定疾病列表</w:t>
      </w:r>
    </w:p>
    <w:p>
      <w:pPr>
        <w:spacing w:after="0"/>
        <w:sectPr>
          <w:pgSz w:w="11910" w:h="16840"/>
          <w:pgMar w:header="0" w:footer="1005" w:top="1400" w:bottom="1200" w:left="1560" w:right="240"/>
          <w:cols w:num="2" w:equalWidth="0">
            <w:col w:w="1121" w:space="2131"/>
            <w:col w:w="6858"/>
          </w:cols>
        </w:sectPr>
      </w:pPr>
    </w:p>
    <w:p>
      <w:pPr>
        <w:pStyle w:val="BodyText"/>
        <w:spacing w:before="4"/>
        <w:ind w:left="0"/>
        <w:rPr>
          <w:b/>
          <w:sz w:val="29"/>
        </w:rPr>
      </w:pPr>
    </w:p>
    <w:p>
      <w:pPr>
        <w:pStyle w:val="Heading4"/>
        <w:spacing w:line="266" w:lineRule="auto"/>
      </w:pPr>
      <w:r>
        <w:rPr>
          <w:spacing w:val="-2"/>
          <w:w w:val="95"/>
        </w:rPr>
        <w:t>本</w:t>
      </w:r>
      <w:r>
        <w:rPr>
          <w:spacing w:val="-2"/>
          <w:w w:val="95"/>
        </w:rPr>
        <w:t>合</w:t>
      </w:r>
      <w:r>
        <w:rPr>
          <w:spacing w:val="-13"/>
          <w:w w:val="95"/>
        </w:rPr>
        <w:t>同所指特定疾病，是被</w:t>
      </w:r>
      <w:r>
        <w:rPr>
          <w:spacing w:val="-2"/>
          <w:w w:val="95"/>
        </w:rPr>
        <w:t>保</w:t>
      </w:r>
      <w:r>
        <w:rPr>
          <w:spacing w:val="-2"/>
          <w:w w:val="95"/>
        </w:rPr>
        <w:t>险</w:t>
      </w:r>
      <w:r>
        <w:rPr>
          <w:spacing w:val="-2"/>
          <w:w w:val="95"/>
        </w:rPr>
        <w:t>人发生符合以下定义</w:t>
      </w:r>
      <w:r>
        <w:rPr>
          <w:spacing w:val="-2"/>
          <w:w w:val="95"/>
        </w:rPr>
        <w:t>所</w:t>
      </w:r>
      <w:r>
        <w:rPr>
          <w:spacing w:val="-2"/>
          <w:w w:val="95"/>
        </w:rPr>
        <w:t>述</w:t>
      </w:r>
      <w:r>
        <w:rPr>
          <w:spacing w:val="-14"/>
          <w:w w:val="95"/>
        </w:rPr>
        <w:t>条件的疾病、疾病状态</w:t>
      </w:r>
      <w:r>
        <w:rPr>
          <w:spacing w:val="-2"/>
          <w:w w:val="95"/>
        </w:rPr>
        <w:t>或</w:t>
      </w:r>
      <w:r>
        <w:rPr>
          <w:spacing w:val="-2"/>
          <w:w w:val="95"/>
        </w:rPr>
        <w:t>手</w:t>
      </w:r>
      <w:r>
        <w:rPr>
          <w:spacing w:val="-2"/>
          <w:w w:val="95"/>
        </w:rPr>
        <w:t>术，</w:t>
      </w:r>
      <w:r>
        <w:rPr>
          <w:spacing w:val="-2"/>
          <w:w w:val="95"/>
        </w:rPr>
        <w:t>共</w:t>
      </w:r>
      <w:r>
        <w:rPr>
          <w:spacing w:val="-2"/>
          <w:w w:val="95"/>
        </w:rPr>
        <w:t>计</w:t>
      </w:r>
      <w:r>
        <w:rPr>
          <w:spacing w:val="-2"/>
          <w:w w:val="95"/>
        </w:rPr>
        <w:t>二十五种，该疾病或</w:t>
      </w:r>
      <w:r>
        <w:rPr>
          <w:spacing w:val="-2"/>
          <w:w w:val="95"/>
        </w:rPr>
        <w:t>手</w:t>
      </w:r>
      <w:r>
        <w:rPr>
          <w:spacing w:val="-2"/>
          <w:w w:val="95"/>
        </w:rPr>
        <w:t>术</w:t>
      </w:r>
      <w:r>
        <w:rPr>
          <w:spacing w:val="-2"/>
          <w:w w:val="95"/>
        </w:rPr>
        <w:t>应由专科医生明确诊</w:t>
      </w:r>
      <w:r>
        <w:rPr>
          <w:spacing w:val="-2"/>
          <w:w w:val="95"/>
        </w:rPr>
        <w:t>断</w:t>
      </w:r>
      <w:r>
        <w:rPr>
          <w:spacing w:val="-2"/>
          <w:w w:val="95"/>
        </w:rPr>
        <w:t>。</w:t>
      </w:r>
    </w:p>
    <w:p>
      <w:pPr>
        <w:pStyle w:val="Heading5"/>
        <w:spacing w:before="8"/>
      </w:pPr>
      <w:r>
        <w:rPr>
          <w:spacing w:val="-4"/>
        </w:rPr>
        <w:t>一、白血病</w:t>
      </w:r>
    </w:p>
    <w:p>
      <w:pPr>
        <w:pStyle w:val="BodyText"/>
        <w:spacing w:line="278" w:lineRule="auto" w:before="43"/>
        <w:ind w:right="1549"/>
        <w:jc w:val="both"/>
      </w:pPr>
      <w:r>
        <w:rPr>
          <w:spacing w:val="-8"/>
        </w:rPr>
        <w:t>白血病是一种造血系统的恶性肿瘤，其主要表现为白血病细胞在骨髓或其他造血组织中进行</w:t>
      </w:r>
      <w:r>
        <w:rPr>
          <w:spacing w:val="-4"/>
        </w:rPr>
        <w:t>性、失控制的异常增生，并浸润至其他组织与器官，使正常血细胞生成减少，周围白细胞有</w:t>
      </w:r>
      <w:r>
        <w:rPr>
          <w:spacing w:val="-4"/>
        </w:rPr>
        <w:t>质和量的变化，产生相应临床表现。所患白血病必须根据骨髓的活组织检查和周围血象由专</w:t>
      </w:r>
      <w:r>
        <w:rPr>
          <w:spacing w:val="-2"/>
        </w:rPr>
        <w:t>科（儿科、血液科或肿瘤科）医生确诊。</w:t>
      </w:r>
    </w:p>
    <w:p>
      <w:pPr>
        <w:pStyle w:val="Heading5"/>
        <w:spacing w:line="278" w:lineRule="auto"/>
        <w:ind w:right="3116"/>
      </w:pPr>
      <w:r>
        <w:rPr>
          <w:spacing w:val="-14"/>
        </w:rPr>
        <w:t>相当于 </w:t>
      </w:r>
      <w:r>
        <w:rPr/>
        <w:t>Binet</w:t>
      </w:r>
      <w:r>
        <w:rPr>
          <w:spacing w:val="-19"/>
        </w:rPr>
        <w:t> 分期方案 </w:t>
      </w:r>
      <w:r>
        <w:rPr/>
        <w:t>A</w:t>
      </w:r>
      <w:r>
        <w:rPr>
          <w:spacing w:val="-8"/>
        </w:rPr>
        <w:t> 期程度的慢性淋巴细胞白血病不在保障范围内。</w:t>
      </w:r>
      <w:r>
        <w:rPr>
          <w:spacing w:val="-2"/>
        </w:rPr>
        <w:t>二、神经母细胞瘤</w:t>
      </w:r>
    </w:p>
    <w:p>
      <w:pPr>
        <w:pStyle w:val="BodyText"/>
        <w:spacing w:line="278" w:lineRule="auto"/>
        <w:ind w:right="1549"/>
      </w:pPr>
      <w:r>
        <w:rPr>
          <w:spacing w:val="-7"/>
        </w:rPr>
        <w:t>指起源于肾上腺髓质或椎旁交感神经系统的恶性肿瘤。“恶性肿瘤——重度”释义参考附表</w:t>
      </w:r>
      <w:r>
        <w:rPr>
          <w:spacing w:val="-2"/>
        </w:rPr>
        <w:t>一重大疾病中的“恶性肿瘤——重度”释义。</w:t>
      </w:r>
    </w:p>
    <w:p>
      <w:pPr>
        <w:spacing w:line="269" w:lineRule="exact" w:before="0"/>
        <w:ind w:left="238" w:right="0" w:firstLine="0"/>
        <w:jc w:val="left"/>
        <w:rPr>
          <w:b/>
          <w:sz w:val="21"/>
        </w:rPr>
      </w:pPr>
      <w:r>
        <w:rPr>
          <w:b/>
          <w:spacing w:val="-3"/>
          <w:sz w:val="21"/>
        </w:rPr>
        <w:t>下列疾病不在保障范围内：</w:t>
      </w:r>
    </w:p>
    <w:p>
      <w:pPr>
        <w:pStyle w:val="ListParagraph"/>
        <w:numPr>
          <w:ilvl w:val="0"/>
          <w:numId w:val="101"/>
        </w:numPr>
        <w:tabs>
          <w:tab w:pos="767" w:val="left" w:leader="none"/>
        </w:tabs>
        <w:spacing w:line="240" w:lineRule="auto" w:before="43" w:after="0"/>
        <w:ind w:left="767" w:right="0" w:hanging="529"/>
        <w:jc w:val="left"/>
        <w:rPr>
          <w:b/>
          <w:sz w:val="21"/>
        </w:rPr>
      </w:pPr>
      <w:r>
        <w:rPr>
          <w:b/>
          <w:spacing w:val="-3"/>
          <w:sz w:val="21"/>
        </w:rPr>
        <w:t>原位癌；</w:t>
      </w:r>
    </w:p>
    <w:p>
      <w:pPr>
        <w:pStyle w:val="ListParagraph"/>
        <w:numPr>
          <w:ilvl w:val="0"/>
          <w:numId w:val="101"/>
        </w:numPr>
        <w:tabs>
          <w:tab w:pos="767" w:val="left" w:leader="none"/>
        </w:tabs>
        <w:spacing w:line="240" w:lineRule="auto" w:before="43" w:after="0"/>
        <w:ind w:left="767" w:right="0" w:hanging="529"/>
        <w:jc w:val="left"/>
        <w:rPr>
          <w:b/>
          <w:sz w:val="21"/>
        </w:rPr>
      </w:pPr>
      <w:r>
        <w:rPr>
          <w:b/>
          <w:spacing w:val="-2"/>
          <w:sz w:val="21"/>
        </w:rPr>
        <w:t>继发性恶性肿瘤；</w:t>
      </w:r>
    </w:p>
    <w:p>
      <w:pPr>
        <w:pStyle w:val="ListParagraph"/>
        <w:numPr>
          <w:ilvl w:val="0"/>
          <w:numId w:val="101"/>
        </w:numPr>
        <w:tabs>
          <w:tab w:pos="767" w:val="left" w:leader="none"/>
        </w:tabs>
        <w:spacing w:line="278" w:lineRule="auto" w:before="43" w:after="0"/>
        <w:ind w:left="238" w:right="4067" w:firstLine="0"/>
        <w:jc w:val="left"/>
        <w:rPr>
          <w:b/>
          <w:sz w:val="21"/>
        </w:rPr>
      </w:pPr>
      <w:r>
        <w:rPr>
          <w:b/>
          <w:spacing w:val="-2"/>
          <w:sz w:val="21"/>
        </w:rPr>
        <w:t>感染艾滋病病毒或患艾滋病期间所患恶性肿瘤——重度；</w:t>
      </w:r>
      <w:r>
        <w:rPr>
          <w:b/>
          <w:spacing w:val="-2"/>
          <w:sz w:val="21"/>
        </w:rPr>
        <w:t>三、严重幼年型类风湿性关节炎</w:t>
      </w:r>
    </w:p>
    <w:p>
      <w:pPr>
        <w:pStyle w:val="BodyText"/>
        <w:spacing w:line="269" w:lineRule="exact"/>
      </w:pPr>
      <w:r>
        <w:rPr>
          <w:spacing w:val="-3"/>
        </w:rPr>
        <w:t>指为了治疗幼年型类风湿性关节炎，实际实施了膝关节或髋关节置换手术。</w:t>
      </w:r>
    </w:p>
    <w:p>
      <w:pPr>
        <w:pStyle w:val="BodyText"/>
        <w:spacing w:line="278" w:lineRule="auto" w:before="43"/>
        <w:ind w:right="1549"/>
      </w:pPr>
      <w:r>
        <w:rPr>
          <w:spacing w:val="-6"/>
        </w:rPr>
        <w:t>幼年型类风湿性关节炎是一种儿童期发病的慢性关节炎，其特点为在高热和系统性病征出现</w:t>
      </w:r>
      <w:r>
        <w:rPr>
          <w:spacing w:val="-2"/>
        </w:rPr>
        <w:t>数月后发生关节炎。</w:t>
      </w:r>
    </w:p>
    <w:p>
      <w:pPr>
        <w:pStyle w:val="Heading5"/>
        <w:spacing w:line="278" w:lineRule="auto"/>
        <w:ind w:right="5018"/>
      </w:pPr>
      <w:r>
        <w:rPr>
          <w:spacing w:val="-2"/>
        </w:rPr>
        <w:t>被保险人疾病诊断时年龄必须在年满十八周岁之前。</w:t>
      </w:r>
      <w:r>
        <w:rPr>
          <w:spacing w:val="-2"/>
        </w:rPr>
        <w:t>其他类型的儿童类风湿性关节炎不在保障范围内。</w:t>
      </w:r>
      <w:r>
        <w:rPr>
          <w:spacing w:val="-2"/>
        </w:rPr>
        <w:t> 四、重大器官移植术或造血干细胞移植术</w:t>
      </w:r>
    </w:p>
    <w:p>
      <w:pPr>
        <w:pStyle w:val="BodyText"/>
        <w:spacing w:line="278" w:lineRule="auto"/>
        <w:ind w:right="1549"/>
      </w:pPr>
      <w:r>
        <w:rPr>
          <w:spacing w:val="-4"/>
        </w:rPr>
        <w:t>重大器官移植术，指因相应器官功能衰竭，已经实施了肾脏、肝脏、心脏、肺脏或小肠的异</w:t>
      </w:r>
      <w:r>
        <w:rPr>
          <w:spacing w:val="-2"/>
        </w:rPr>
        <w:t>体移植手术。</w:t>
      </w:r>
    </w:p>
    <w:p>
      <w:pPr>
        <w:pStyle w:val="BodyText"/>
        <w:spacing w:line="278" w:lineRule="auto"/>
        <w:ind w:right="1551"/>
      </w:pPr>
      <w:r>
        <w:rPr>
          <w:spacing w:val="-4"/>
        </w:rPr>
        <w:t>造血干细胞移植术，指因造血功能损害或造血系统恶性肿瘤，已经实施了造血干细胞（包括</w:t>
      </w:r>
      <w:r>
        <w:rPr>
          <w:spacing w:val="-2"/>
        </w:rPr>
        <w:t>骨髓造血干细胞、外周血造血干细胞和脐血造血干细胞）的移植手术。</w:t>
      </w:r>
    </w:p>
    <w:p>
      <w:pPr>
        <w:pStyle w:val="Heading5"/>
        <w:spacing w:line="269" w:lineRule="exact"/>
      </w:pPr>
      <w:r>
        <w:rPr>
          <w:spacing w:val="-4"/>
        </w:rPr>
        <w:t>五、严重心肌病</w:t>
      </w:r>
    </w:p>
    <w:p>
      <w:pPr>
        <w:pStyle w:val="BodyText"/>
        <w:spacing w:line="278" w:lineRule="auto" w:before="43"/>
        <w:ind w:right="1548"/>
        <w:jc w:val="both"/>
      </w:pPr>
      <w:r>
        <w:rPr>
          <w:spacing w:val="-4"/>
        </w:rPr>
        <w:t>指不明原因引起的一类心肌病变，包括原发性扩张型心肌病、原发性肥厚型心肌病及原发性</w:t>
      </w:r>
      <w:r>
        <w:rPr>
          <w:spacing w:val="-4"/>
        </w:rPr>
        <w:t>限制型心肌病三种，病变必须已造成事实上心室功能障碍而出现明显的心功能衰竭（美国纽</w:t>
      </w:r>
      <w:r>
        <w:rPr/>
        <w:t>约心脏病学会（New</w:t>
      </w:r>
      <w:r>
        <w:rPr>
          <w:spacing w:val="-2"/>
        </w:rPr>
        <w:t> </w:t>
      </w:r>
      <w:r>
        <w:rPr/>
        <w:t>York</w:t>
      </w:r>
      <w:r>
        <w:rPr>
          <w:spacing w:val="-5"/>
        </w:rPr>
        <w:t> </w:t>
      </w:r>
      <w:r>
        <w:rPr/>
        <w:t>Heart</w:t>
      </w:r>
      <w:r>
        <w:rPr>
          <w:spacing w:val="-2"/>
        </w:rPr>
        <w:t> </w:t>
      </w:r>
      <w:r>
        <w:rPr/>
        <w:t>Association，NYHA）心功能状态分级达Ⅳ级</w:t>
      </w:r>
      <w:r>
        <w:rPr>
          <w:spacing w:val="-108"/>
        </w:rPr>
        <w:t>）</w:t>
      </w:r>
      <w:r>
        <w:rPr/>
        <w:t>，且有相关</w:t>
      </w:r>
      <w:r>
        <w:rPr>
          <w:spacing w:val="-2"/>
        </w:rPr>
        <w:t>住院医疗记录显示四级心功能衰竭状态持续至少一百八十天。</w:t>
      </w:r>
    </w:p>
    <w:p>
      <w:pPr>
        <w:pStyle w:val="Heading5"/>
        <w:spacing w:line="278" w:lineRule="auto"/>
        <w:ind w:right="1549"/>
      </w:pPr>
      <w:r>
        <w:rPr>
          <w:spacing w:val="-2"/>
        </w:rPr>
        <w:t>本病须经专科医生明确诊断。继发于全身性疾病或其他器官系统疾病造成的心肌病变不在</w:t>
      </w:r>
      <w:r>
        <w:rPr>
          <w:spacing w:val="-2"/>
        </w:rPr>
        <w:t>保障范围内。</w:t>
      </w:r>
    </w:p>
    <w:p>
      <w:pPr>
        <w:pStyle w:val="BodyText"/>
        <w:spacing w:line="278" w:lineRule="auto"/>
        <w:ind w:right="1551"/>
        <w:rPr>
          <w:b/>
        </w:rPr>
      </w:pPr>
      <w:r>
        <w:rPr>
          <w:spacing w:val="-3"/>
          <w:w w:val="100"/>
        </w:rPr>
        <w:t>美国纽约心脏病学会</w:t>
      </w:r>
      <w:r>
        <w:rPr>
          <w:spacing w:val="-1"/>
          <w:w w:val="100"/>
        </w:rPr>
        <w:t>（</w:t>
      </w:r>
      <w:r>
        <w:rPr>
          <w:w w:val="100"/>
        </w:rPr>
        <w:t>N</w:t>
      </w:r>
      <w:r>
        <w:rPr>
          <w:spacing w:val="-3"/>
          <w:w w:val="100"/>
        </w:rPr>
        <w:t>e</w:t>
      </w:r>
      <w:r>
        <w:rPr>
          <w:w w:val="100"/>
        </w:rPr>
        <w:t>w</w:t>
      </w:r>
      <w:r>
        <w:rPr>
          <w:spacing w:val="-31"/>
        </w:rPr>
        <w:t> </w:t>
      </w:r>
      <w:r>
        <w:rPr>
          <w:w w:val="100"/>
        </w:rPr>
        <w:t>York</w:t>
      </w:r>
      <w:r>
        <w:rPr>
          <w:spacing w:val="-31"/>
        </w:rPr>
        <w:t> </w:t>
      </w:r>
      <w:r>
        <w:rPr>
          <w:w w:val="100"/>
        </w:rPr>
        <w:t>H</w:t>
      </w:r>
      <w:r>
        <w:rPr>
          <w:spacing w:val="-3"/>
          <w:w w:val="100"/>
        </w:rPr>
        <w:t>e</w:t>
      </w:r>
      <w:r>
        <w:rPr>
          <w:w w:val="100"/>
        </w:rPr>
        <w:t>art</w:t>
      </w:r>
      <w:r>
        <w:rPr>
          <w:spacing w:val="-31"/>
        </w:rPr>
        <w:t> </w:t>
      </w:r>
      <w:r>
        <w:rPr>
          <w:w w:val="100"/>
        </w:rPr>
        <w:t>As</w:t>
      </w:r>
      <w:r>
        <w:rPr>
          <w:spacing w:val="-3"/>
          <w:w w:val="100"/>
        </w:rPr>
        <w:t>s</w:t>
      </w:r>
      <w:r>
        <w:rPr>
          <w:w w:val="100"/>
        </w:rPr>
        <w:t>oci</w:t>
      </w:r>
      <w:r>
        <w:rPr>
          <w:spacing w:val="-3"/>
          <w:w w:val="100"/>
        </w:rPr>
        <w:t>a</w:t>
      </w:r>
      <w:r>
        <w:rPr>
          <w:w w:val="100"/>
        </w:rPr>
        <w:t>tio</w:t>
      </w:r>
      <w:r>
        <w:rPr>
          <w:spacing w:val="-3"/>
          <w:w w:val="100"/>
        </w:rPr>
        <w:t>n</w:t>
      </w:r>
      <w:r>
        <w:rPr>
          <w:w w:val="100"/>
        </w:rPr>
        <w:t>，NYH</w:t>
      </w:r>
      <w:r>
        <w:rPr>
          <w:spacing w:val="-3"/>
          <w:w w:val="100"/>
        </w:rPr>
        <w:t>A</w:t>
      </w:r>
      <w:r>
        <w:rPr>
          <w:w w:val="100"/>
        </w:rPr>
        <w:t>）</w:t>
      </w:r>
      <w:r>
        <w:rPr>
          <w:spacing w:val="-3"/>
          <w:w w:val="100"/>
        </w:rPr>
        <w:t>心功能状态分级Ⅳ级是指有医院的医疗记录显示病人不能进行任何活动，休息时仍有心悸、呼吸困难等心力衰竭表现。</w:t>
      </w:r>
      <w:r>
        <w:rPr>
          <w:b/>
          <w:spacing w:val="-3"/>
          <w:w w:val="100"/>
        </w:rPr>
        <w:t>六、重型再生障碍性贫血</w:t>
      </w:r>
    </w:p>
    <w:p>
      <w:pPr>
        <w:pStyle w:val="BodyText"/>
        <w:spacing w:line="278" w:lineRule="auto"/>
        <w:ind w:right="1549"/>
      </w:pPr>
      <w:r>
        <w:rPr>
          <w:spacing w:val="-4"/>
        </w:rPr>
        <w:t>指因骨髓造血功能慢性持续性衰竭导致的贫血、中性粒细胞减少及血小板减少，且须满足下</w:t>
      </w:r>
      <w:r>
        <w:rPr>
          <w:spacing w:val="-2"/>
        </w:rPr>
        <w:t>列全部条件：</w:t>
      </w:r>
    </w:p>
    <w:p>
      <w:pPr>
        <w:pStyle w:val="ListParagraph"/>
        <w:numPr>
          <w:ilvl w:val="0"/>
          <w:numId w:val="102"/>
        </w:numPr>
        <w:tabs>
          <w:tab w:pos="767" w:val="left" w:leader="none"/>
        </w:tabs>
        <w:spacing w:line="278" w:lineRule="auto" w:before="0" w:after="0"/>
        <w:ind w:left="238" w:right="1551" w:firstLine="0"/>
        <w:jc w:val="left"/>
        <w:rPr>
          <w:sz w:val="21"/>
        </w:rPr>
      </w:pPr>
      <w:r>
        <w:rPr>
          <w:spacing w:val="-4"/>
          <w:sz w:val="21"/>
        </w:rPr>
        <w:t>骨髓穿刺检查或骨髓活检结果支持诊断：骨髓细胞增生程度&lt;正常的 </w:t>
      </w:r>
      <w:r>
        <w:rPr>
          <w:spacing w:val="-2"/>
          <w:sz w:val="21"/>
        </w:rPr>
        <w:t>25%；如≥正常的 25%但&lt;50%，则残存的造血细胞应&lt;30%；</w:t>
      </w:r>
    </w:p>
    <w:p>
      <w:pPr>
        <w:spacing w:after="0" w:line="278" w:lineRule="auto"/>
        <w:jc w:val="left"/>
        <w:rPr>
          <w:sz w:val="21"/>
        </w:rPr>
        <w:sectPr>
          <w:type w:val="continuous"/>
          <w:pgSz w:w="11910" w:h="16840"/>
          <w:pgMar w:header="0" w:footer="1005" w:top="240" w:bottom="1200" w:left="1560" w:right="240"/>
        </w:sectPr>
      </w:pPr>
    </w:p>
    <w:p>
      <w:pPr>
        <w:pStyle w:val="ListParagraph"/>
        <w:numPr>
          <w:ilvl w:val="0"/>
          <w:numId w:val="102"/>
        </w:numPr>
        <w:tabs>
          <w:tab w:pos="767" w:val="left" w:leader="none"/>
        </w:tabs>
        <w:spacing w:line="240" w:lineRule="auto" w:before="44" w:after="0"/>
        <w:ind w:left="767" w:right="0" w:hanging="529"/>
        <w:jc w:val="left"/>
        <w:rPr>
          <w:sz w:val="21"/>
        </w:rPr>
      </w:pPr>
      <w:r>
        <w:rPr>
          <w:spacing w:val="-3"/>
          <w:sz w:val="21"/>
        </w:rPr>
        <w:t>外周血象须具备以下三项条件中的两项：</w:t>
      </w:r>
    </w:p>
    <w:p>
      <w:pPr>
        <w:pStyle w:val="BodyText"/>
        <w:spacing w:before="33"/>
      </w:pPr>
      <w:r>
        <w:rPr>
          <w:spacing w:val="-2"/>
        </w:rPr>
        <w:t>①中性粒细胞绝对值&lt;0.5×10</w:t>
      </w:r>
      <w:r>
        <w:rPr>
          <w:spacing w:val="-2"/>
          <w:position w:val="11"/>
          <w:sz w:val="11"/>
        </w:rPr>
        <w:t>9</w:t>
      </w:r>
      <w:r>
        <w:rPr>
          <w:spacing w:val="-2"/>
        </w:rPr>
        <w:t>/L；</w:t>
      </w:r>
    </w:p>
    <w:p>
      <w:pPr>
        <w:pStyle w:val="BodyText"/>
        <w:spacing w:before="33"/>
      </w:pPr>
      <w:r>
        <w:rPr>
          <w:spacing w:val="-2"/>
        </w:rPr>
        <w:t>②网织红细胞计数&lt;20×10</w:t>
      </w:r>
      <w:r>
        <w:rPr>
          <w:spacing w:val="-2"/>
          <w:position w:val="11"/>
          <w:sz w:val="11"/>
        </w:rPr>
        <w:t>9</w:t>
      </w:r>
      <w:r>
        <w:rPr>
          <w:spacing w:val="-2"/>
        </w:rPr>
        <w:t>/L；</w:t>
      </w:r>
    </w:p>
    <w:p>
      <w:pPr>
        <w:spacing w:line="278" w:lineRule="auto" w:before="33"/>
        <w:ind w:left="238" w:right="7125" w:firstLine="0"/>
        <w:jc w:val="left"/>
        <w:rPr>
          <w:b/>
          <w:sz w:val="21"/>
        </w:rPr>
      </w:pPr>
      <w:r>
        <w:rPr>
          <w:spacing w:val="-2"/>
          <w:sz w:val="21"/>
        </w:rPr>
        <w:t>③血小板绝对值&lt;20×10</w:t>
      </w:r>
      <w:r>
        <w:rPr>
          <w:spacing w:val="-2"/>
          <w:position w:val="11"/>
          <w:sz w:val="11"/>
        </w:rPr>
        <w:t>9</w:t>
      </w:r>
      <w:r>
        <w:rPr>
          <w:spacing w:val="-2"/>
          <w:sz w:val="21"/>
        </w:rPr>
        <w:t>/L。</w:t>
      </w:r>
      <w:r>
        <w:rPr>
          <w:b/>
          <w:spacing w:val="-3"/>
          <w:sz w:val="21"/>
        </w:rPr>
        <w:t>七、疾病或外伤所致智力障碍</w:t>
      </w:r>
    </w:p>
    <w:p>
      <w:pPr>
        <w:pStyle w:val="BodyText"/>
        <w:spacing w:line="278" w:lineRule="auto"/>
        <w:ind w:right="1443"/>
      </w:pPr>
      <w:r>
        <w:rPr>
          <w:spacing w:val="-2"/>
        </w:rPr>
        <w:t>因严重头部创伤或疾病造成被保险人智力低常（智力低于常态</w:t>
      </w:r>
      <w:r>
        <w:rPr>
          <w:spacing w:val="-106"/>
        </w:rPr>
        <w:t>）</w:t>
      </w:r>
      <w:r>
        <w:rPr>
          <w:spacing w:val="-2"/>
        </w:rPr>
        <w:t>。根据智商</w:t>
      </w:r>
      <w:r>
        <w:rPr>
          <w:spacing w:val="21"/>
        </w:rPr>
        <w:t>（</w:t>
      </w:r>
      <w:r>
        <w:rPr>
          <w:spacing w:val="24"/>
        </w:rPr>
        <w:t>IQ</w:t>
      </w:r>
      <w:r>
        <w:rPr>
          <w:spacing w:val="-82"/>
        </w:rPr>
        <w:t>）</w:t>
      </w:r>
      <w:r>
        <w:rPr>
          <w:spacing w:val="-2"/>
        </w:rPr>
        <w:t>，智力低常</w:t>
      </w:r>
      <w:r>
        <w:rPr>
          <w:spacing w:val="-2"/>
        </w:rPr>
        <w:t>分为中度（IQ35-</w:t>
      </w:r>
      <w:r>
        <w:rPr>
          <w:spacing w:val="34"/>
        </w:rPr>
        <w:t>50</w:t>
      </w:r>
      <w:r>
        <w:rPr>
          <w:spacing w:val="-74"/>
        </w:rPr>
        <w:t>）</w:t>
      </w:r>
      <w:r>
        <w:rPr>
          <w:spacing w:val="-2"/>
        </w:rPr>
        <w:t>、重度（IQ20-35）和极重度</w:t>
      </w:r>
      <w:r>
        <w:rPr>
          <w:spacing w:val="10"/>
        </w:rPr>
        <w:t>（</w:t>
      </w:r>
      <w:r>
        <w:rPr>
          <w:spacing w:val="13"/>
        </w:rPr>
        <w:t>IQ&lt;20</w:t>
      </w:r>
      <w:r>
        <w:rPr>
          <w:spacing w:val="-95"/>
        </w:rPr>
        <w:t>）</w:t>
      </w:r>
      <w:r>
        <w:rPr>
          <w:spacing w:val="-2"/>
        </w:rPr>
        <w:t>。智商的检测必须由我们认可的</w:t>
      </w:r>
      <w:r>
        <w:rPr>
          <w:spacing w:val="-2"/>
        </w:rPr>
        <w:t>专职心理测验工作者进行，心理测验工作者必须持有由心理测量专业委员会资格认定书。根</w:t>
      </w:r>
      <w:r>
        <w:rPr>
          <w:spacing w:val="-6"/>
        </w:rPr>
        <w:t>据被保险人年龄采用对应的智力量表如韦克斯勒智力量表</w:t>
      </w:r>
      <w:r>
        <w:rPr>
          <w:spacing w:val="-2"/>
        </w:rPr>
        <w:t>（儿童智力量表或成人智力量表</w:t>
      </w:r>
      <w:r>
        <w:rPr>
          <w:spacing w:val="-106"/>
        </w:rPr>
        <w:t>）</w:t>
      </w:r>
      <w:r>
        <w:rPr>
          <w:spacing w:val="-2"/>
        </w:rPr>
        <w:t>。</w:t>
      </w:r>
      <w:r>
        <w:rPr>
          <w:spacing w:val="-2"/>
        </w:rPr>
        <w:t>必须满足下列全部条件：</w:t>
      </w:r>
    </w:p>
    <w:p>
      <w:pPr>
        <w:pStyle w:val="ListParagraph"/>
        <w:numPr>
          <w:ilvl w:val="0"/>
          <w:numId w:val="103"/>
        </w:numPr>
        <w:tabs>
          <w:tab w:pos="767" w:val="left" w:leader="none"/>
        </w:tabs>
        <w:spacing w:line="278" w:lineRule="auto" w:before="0" w:after="0"/>
        <w:ind w:left="238" w:right="1565" w:firstLine="0"/>
        <w:jc w:val="left"/>
        <w:rPr>
          <w:sz w:val="21"/>
        </w:rPr>
      </w:pPr>
      <w:r>
        <w:rPr>
          <w:spacing w:val="-2"/>
          <w:sz w:val="21"/>
        </w:rPr>
        <w:t>造成被保险人智力低常（智力低于常态）的严重头部创伤或疾病（以入院日期为准）</w:t>
      </w:r>
      <w:r>
        <w:rPr>
          <w:spacing w:val="-3"/>
          <w:sz w:val="21"/>
        </w:rPr>
        <w:t>发生在被保险人 </w:t>
      </w:r>
      <w:r>
        <w:rPr>
          <w:sz w:val="21"/>
        </w:rPr>
        <w:t>6</w:t>
      </w:r>
      <w:r>
        <w:rPr>
          <w:spacing w:val="-5"/>
          <w:sz w:val="21"/>
        </w:rPr>
        <w:t> 周岁以后；</w:t>
      </w:r>
    </w:p>
    <w:p>
      <w:pPr>
        <w:pStyle w:val="ListParagraph"/>
        <w:numPr>
          <w:ilvl w:val="0"/>
          <w:numId w:val="103"/>
        </w:numPr>
        <w:tabs>
          <w:tab w:pos="767" w:val="left" w:leader="none"/>
        </w:tabs>
        <w:spacing w:line="269" w:lineRule="exact" w:before="0" w:after="0"/>
        <w:ind w:left="767" w:right="0" w:hanging="529"/>
        <w:jc w:val="left"/>
        <w:rPr>
          <w:sz w:val="21"/>
        </w:rPr>
      </w:pPr>
      <w:r>
        <w:rPr>
          <w:spacing w:val="-3"/>
          <w:sz w:val="21"/>
        </w:rPr>
        <w:t>专科医生确诊被保险人由于严重头部创伤或疾病造成智力低常；</w:t>
      </w:r>
    </w:p>
    <w:p>
      <w:pPr>
        <w:pStyle w:val="ListParagraph"/>
        <w:numPr>
          <w:ilvl w:val="0"/>
          <w:numId w:val="103"/>
        </w:numPr>
        <w:tabs>
          <w:tab w:pos="767" w:val="left" w:leader="none"/>
        </w:tabs>
        <w:spacing w:line="240" w:lineRule="auto" w:before="43" w:after="0"/>
        <w:ind w:left="767" w:right="0" w:hanging="529"/>
        <w:jc w:val="left"/>
        <w:rPr>
          <w:sz w:val="21"/>
        </w:rPr>
      </w:pPr>
      <w:r>
        <w:rPr>
          <w:spacing w:val="-5"/>
          <w:sz w:val="21"/>
        </w:rPr>
        <w:t>专职心理检测工作者适时做的心理检测证实被保险人智力低常</w:t>
      </w:r>
      <w:r>
        <w:rPr>
          <w:spacing w:val="-2"/>
          <w:sz w:val="21"/>
        </w:rPr>
        <w:t>（</w:t>
      </w:r>
      <w:r>
        <w:rPr>
          <w:spacing w:val="-11"/>
          <w:sz w:val="21"/>
        </w:rPr>
        <w:t>中度、重度或极重度</w:t>
      </w:r>
      <w:r>
        <w:rPr>
          <w:spacing w:val="-113"/>
          <w:sz w:val="21"/>
        </w:rPr>
        <w:t>）</w:t>
      </w:r>
      <w:r>
        <w:rPr>
          <w:spacing w:val="-5"/>
          <w:sz w:val="21"/>
        </w:rPr>
        <w:t>；</w:t>
      </w:r>
    </w:p>
    <w:p>
      <w:pPr>
        <w:pStyle w:val="ListParagraph"/>
        <w:numPr>
          <w:ilvl w:val="0"/>
          <w:numId w:val="103"/>
        </w:numPr>
        <w:tabs>
          <w:tab w:pos="767" w:val="left" w:leader="none"/>
        </w:tabs>
        <w:spacing w:line="278" w:lineRule="auto" w:before="43" w:after="0"/>
        <w:ind w:left="238" w:right="4717" w:firstLine="0"/>
        <w:jc w:val="left"/>
        <w:rPr>
          <w:b/>
          <w:sz w:val="21"/>
        </w:rPr>
      </w:pPr>
      <w:r>
        <w:rPr>
          <w:spacing w:val="-5"/>
          <w:sz w:val="21"/>
        </w:rPr>
        <w:t>被保险人的智力低常自确认日起持续 </w:t>
      </w:r>
      <w:r>
        <w:rPr>
          <w:spacing w:val="-2"/>
          <w:sz w:val="21"/>
        </w:rPr>
        <w:t>180</w:t>
      </w:r>
      <w:r>
        <w:rPr>
          <w:spacing w:val="-12"/>
          <w:sz w:val="21"/>
        </w:rPr>
        <w:t> 天以上。</w:t>
      </w:r>
      <w:r>
        <w:rPr>
          <w:b/>
          <w:spacing w:val="-2"/>
          <w:sz w:val="21"/>
        </w:rPr>
        <w:t>八、成骨不全症</w:t>
      </w:r>
    </w:p>
    <w:p>
      <w:pPr>
        <w:pStyle w:val="BodyText"/>
        <w:spacing w:line="278" w:lineRule="auto"/>
        <w:ind w:right="1460"/>
      </w:pPr>
      <w:r>
        <w:rPr>
          <w:spacing w:val="-2"/>
        </w:rPr>
        <w:t>指一种胶原病，特征为骨易碎，骨质疏松和易骨折。该病有 </w:t>
      </w:r>
      <w:r>
        <w:rPr/>
        <w:t>4</w:t>
      </w:r>
      <w:r>
        <w:rPr>
          <w:spacing w:val="-8"/>
        </w:rPr>
        <w:t> 种类型：Ⅰ型、Ⅱ型、Ⅲ型、</w:t>
      </w:r>
      <w:r>
        <w:rPr/>
        <w:t> </w:t>
      </w:r>
      <w:r>
        <w:rPr>
          <w:spacing w:val="-2"/>
        </w:rPr>
        <w:t>Ⅳ型。</w:t>
      </w:r>
      <w:r>
        <w:rPr>
          <w:b/>
          <w:spacing w:val="-2"/>
        </w:rPr>
        <w:t>只保障Ⅲ型成骨不全的情形。</w:t>
      </w:r>
      <w:r>
        <w:rPr>
          <w:spacing w:val="-2"/>
        </w:rPr>
        <w:t>其主要临床特点有：发展迟缓、多发性骨折、进行性脊</w:t>
      </w:r>
      <w:r>
        <w:rPr/>
        <w:t>柱后侧凸及听力损害。Ⅲ型成骨不全的诊断必须根据身体检查，家族史，X</w:t>
      </w:r>
      <w:r>
        <w:rPr>
          <w:spacing w:val="-7"/>
        </w:rPr>
        <w:t> 线检查和皮肤活</w:t>
      </w:r>
      <w:r>
        <w:rPr>
          <w:spacing w:val="-2"/>
        </w:rPr>
        <w:t>检报告资料确诊。</w:t>
      </w:r>
    </w:p>
    <w:p>
      <w:pPr>
        <w:pStyle w:val="Heading5"/>
        <w:spacing w:line="278" w:lineRule="auto"/>
        <w:ind w:right="1549"/>
      </w:pPr>
      <w:r>
        <w:rPr>
          <w:spacing w:val="-2"/>
        </w:rPr>
        <w:t>本公司承担本项疾病责任不受本合同责任免除中“遗传性疾病，先天性畸形、变形或染色</w:t>
      </w:r>
      <w:r>
        <w:rPr>
          <w:spacing w:val="-2"/>
        </w:rPr>
        <w:t>体异常”的限制。</w:t>
      </w:r>
    </w:p>
    <w:p>
      <w:pPr>
        <w:spacing w:line="269" w:lineRule="exact" w:before="0"/>
        <w:ind w:left="238" w:right="0" w:firstLine="0"/>
        <w:jc w:val="left"/>
        <w:rPr>
          <w:b/>
          <w:sz w:val="21"/>
        </w:rPr>
      </w:pPr>
      <w:r>
        <w:rPr>
          <w:b/>
          <w:spacing w:val="-4"/>
          <w:sz w:val="21"/>
        </w:rPr>
        <w:t>九、严重哮喘</w:t>
      </w:r>
    </w:p>
    <w:p>
      <w:pPr>
        <w:pStyle w:val="BodyText"/>
        <w:spacing w:line="278" w:lineRule="auto" w:before="42"/>
        <w:ind w:right="1549"/>
      </w:pPr>
      <w:r>
        <w:rPr>
          <w:spacing w:val="-4"/>
        </w:rPr>
        <w:t>指一种反复发作的严重支气管阻塞性疾病，经认可的专科医生确诊，且必须同时符合下列标</w:t>
      </w:r>
      <w:r>
        <w:rPr>
          <w:spacing w:val="-6"/>
        </w:rPr>
        <w:t>准：</w:t>
      </w:r>
    </w:p>
    <w:p>
      <w:pPr>
        <w:pStyle w:val="ListParagraph"/>
        <w:numPr>
          <w:ilvl w:val="0"/>
          <w:numId w:val="104"/>
        </w:numPr>
        <w:tabs>
          <w:tab w:pos="767" w:val="left" w:leader="none"/>
        </w:tabs>
        <w:spacing w:line="240" w:lineRule="auto" w:before="0" w:after="0"/>
        <w:ind w:left="767" w:right="0" w:hanging="529"/>
        <w:jc w:val="left"/>
        <w:rPr>
          <w:sz w:val="21"/>
        </w:rPr>
      </w:pPr>
      <w:r>
        <w:rPr>
          <w:spacing w:val="-3"/>
          <w:sz w:val="21"/>
        </w:rPr>
        <w:t>过去两年中曾因哮喘持续状态住院治疗，并提供完整住院记录；</w:t>
      </w:r>
    </w:p>
    <w:p>
      <w:pPr>
        <w:pStyle w:val="ListParagraph"/>
        <w:numPr>
          <w:ilvl w:val="0"/>
          <w:numId w:val="104"/>
        </w:numPr>
        <w:tabs>
          <w:tab w:pos="767" w:val="left" w:leader="none"/>
        </w:tabs>
        <w:spacing w:line="240" w:lineRule="auto" w:before="43" w:after="0"/>
        <w:ind w:left="767" w:right="0" w:hanging="529"/>
        <w:jc w:val="left"/>
        <w:rPr>
          <w:sz w:val="21"/>
        </w:rPr>
      </w:pPr>
      <w:r>
        <w:rPr>
          <w:spacing w:val="-3"/>
          <w:sz w:val="21"/>
        </w:rPr>
        <w:t>因慢性过度换气导致胸廓畸形；</w:t>
      </w:r>
    </w:p>
    <w:p>
      <w:pPr>
        <w:pStyle w:val="ListParagraph"/>
        <w:numPr>
          <w:ilvl w:val="0"/>
          <w:numId w:val="104"/>
        </w:numPr>
        <w:tabs>
          <w:tab w:pos="767" w:val="left" w:leader="none"/>
        </w:tabs>
        <w:spacing w:line="240" w:lineRule="auto" w:before="43" w:after="0"/>
        <w:ind w:left="767" w:right="0" w:hanging="529"/>
        <w:jc w:val="left"/>
        <w:rPr>
          <w:sz w:val="21"/>
        </w:rPr>
      </w:pPr>
      <w:r>
        <w:rPr>
          <w:spacing w:val="-3"/>
          <w:sz w:val="21"/>
        </w:rPr>
        <w:t>在家中需要医生处方的氧气治疗法；</w:t>
      </w:r>
    </w:p>
    <w:p>
      <w:pPr>
        <w:pStyle w:val="ListParagraph"/>
        <w:numPr>
          <w:ilvl w:val="0"/>
          <w:numId w:val="104"/>
        </w:numPr>
        <w:tabs>
          <w:tab w:pos="767" w:val="left" w:leader="none"/>
        </w:tabs>
        <w:spacing w:line="278" w:lineRule="auto" w:before="43" w:after="0"/>
        <w:ind w:left="238" w:right="4506" w:firstLine="0"/>
        <w:jc w:val="left"/>
        <w:rPr>
          <w:b/>
          <w:sz w:val="21"/>
        </w:rPr>
      </w:pPr>
      <w:r>
        <w:rPr>
          <w:spacing w:val="-2"/>
          <w:sz w:val="21"/>
        </w:rPr>
        <w:t>持续日常服用口服类固醇激素治疗持续至少六个月。</w:t>
      </w:r>
      <w:r>
        <w:rPr>
          <w:b/>
          <w:spacing w:val="-2"/>
          <w:sz w:val="21"/>
        </w:rPr>
        <w:t>十、严重川崎病</w:t>
      </w:r>
    </w:p>
    <w:p>
      <w:pPr>
        <w:pStyle w:val="BodyText"/>
        <w:spacing w:line="278" w:lineRule="auto"/>
        <w:ind w:right="1551"/>
      </w:pPr>
      <w:r>
        <w:rPr>
          <w:spacing w:val="-4"/>
        </w:rPr>
        <w:t>是一种血管炎综合征，临床表现为急性发热，皮肤粘膜病损和淋巴结肿大。本病须经专科医</w:t>
      </w:r>
      <w:r>
        <w:rPr>
          <w:spacing w:val="-2"/>
        </w:rPr>
        <w:t>生明确诊断，同时须由血管造影或超声心动图检查证实，满足下列至少一项条件：</w:t>
      </w:r>
    </w:p>
    <w:p>
      <w:pPr>
        <w:pStyle w:val="ListParagraph"/>
        <w:numPr>
          <w:ilvl w:val="0"/>
          <w:numId w:val="105"/>
        </w:numPr>
        <w:tabs>
          <w:tab w:pos="767" w:val="left" w:leader="none"/>
        </w:tabs>
        <w:spacing w:line="269" w:lineRule="exact" w:before="0" w:after="0"/>
        <w:ind w:left="767" w:right="0" w:hanging="529"/>
        <w:jc w:val="left"/>
        <w:rPr>
          <w:sz w:val="21"/>
        </w:rPr>
      </w:pPr>
      <w:r>
        <w:rPr>
          <w:spacing w:val="-4"/>
          <w:sz w:val="21"/>
        </w:rPr>
        <w:t>伴有冠状动脉瘤，且冠状动脉瘤于最初急性发病后持续至少 </w:t>
      </w:r>
      <w:r>
        <w:rPr>
          <w:spacing w:val="-2"/>
          <w:sz w:val="21"/>
        </w:rPr>
        <w:t>180</w:t>
      </w:r>
      <w:r>
        <w:rPr>
          <w:spacing w:val="-19"/>
          <w:sz w:val="21"/>
        </w:rPr>
        <w:t> 天；</w:t>
      </w:r>
    </w:p>
    <w:p>
      <w:pPr>
        <w:pStyle w:val="ListParagraph"/>
        <w:numPr>
          <w:ilvl w:val="0"/>
          <w:numId w:val="105"/>
        </w:numPr>
        <w:tabs>
          <w:tab w:pos="767" w:val="left" w:leader="none"/>
        </w:tabs>
        <w:spacing w:line="278" w:lineRule="auto" w:before="43" w:after="0"/>
        <w:ind w:left="238" w:right="3457" w:firstLine="0"/>
        <w:jc w:val="left"/>
        <w:rPr>
          <w:b/>
          <w:sz w:val="21"/>
        </w:rPr>
      </w:pPr>
      <w:r>
        <w:rPr>
          <w:spacing w:val="-2"/>
          <w:sz w:val="21"/>
        </w:rPr>
        <w:t>伴有冠状动脉瘤，且实际接受了对冠状动脉瘤进行的手术治疗。</w:t>
      </w:r>
      <w:r>
        <w:rPr>
          <w:b/>
          <w:spacing w:val="-2"/>
          <w:sz w:val="21"/>
        </w:rPr>
        <w:t>十一、肝豆状核变性</w:t>
      </w:r>
    </w:p>
    <w:p>
      <w:pPr>
        <w:pStyle w:val="BodyText"/>
        <w:spacing w:line="278" w:lineRule="auto"/>
        <w:ind w:right="1548"/>
        <w:jc w:val="both"/>
      </w:pPr>
      <w:r>
        <w:rPr>
          <w:spacing w:val="-2"/>
        </w:rPr>
        <w:t>肝豆状核变性是一种可能危及生命的铜代谢疾病，以铜沉积造成的渐进性肝功能损害及/或</w:t>
      </w:r>
      <w:r>
        <w:rPr>
          <w:spacing w:val="-11"/>
        </w:rPr>
        <w:t>神经功能恶化为特征。必须由本公司认可医院的专科医生通过肝脏活组织检查结果确定诊断</w:t>
      </w:r>
      <w:r>
        <w:rPr>
          <w:spacing w:val="-2"/>
        </w:rPr>
        <w:t>并配合螯合剂治疗持续至少 </w:t>
      </w:r>
      <w:r>
        <w:rPr/>
        <w:t>6</w:t>
      </w:r>
      <w:r>
        <w:rPr>
          <w:spacing w:val="-6"/>
        </w:rPr>
        <w:t> 个月。</w:t>
      </w:r>
    </w:p>
    <w:p>
      <w:pPr>
        <w:pStyle w:val="Heading5"/>
        <w:spacing w:line="278" w:lineRule="auto"/>
        <w:ind w:right="1643"/>
      </w:pPr>
      <w:r>
        <w:rPr>
          <w:spacing w:val="-2"/>
        </w:rPr>
        <w:t>本公司承担本项疾病责任不受本合同责任免除中“遗传性疾病，先天性畸形、变形或染色</w:t>
      </w:r>
      <w:r>
        <w:rPr>
          <w:spacing w:val="-2"/>
        </w:rPr>
        <w:t>体异常”的限制。</w:t>
      </w:r>
    </w:p>
    <w:p>
      <w:pPr>
        <w:spacing w:line="269" w:lineRule="exact" w:before="0"/>
        <w:ind w:left="238" w:right="0" w:firstLine="0"/>
        <w:jc w:val="left"/>
        <w:rPr>
          <w:b/>
          <w:sz w:val="21"/>
        </w:rPr>
      </w:pPr>
      <w:r>
        <w:rPr>
          <w:b/>
          <w:spacing w:val="-4"/>
          <w:sz w:val="21"/>
        </w:rPr>
        <w:t>十二、严重心肌炎</w:t>
      </w:r>
    </w:p>
    <w:p>
      <w:pPr>
        <w:pStyle w:val="BodyText"/>
        <w:spacing w:line="278" w:lineRule="auto" w:before="43"/>
        <w:ind w:right="1448"/>
        <w:rPr>
          <w:b/>
        </w:rPr>
      </w:pPr>
      <w:r>
        <w:rPr>
          <w:spacing w:val="-2"/>
        </w:rPr>
        <w:t>指心肌局限性或弥漫性的急性或慢性炎症病变，导致心脏功能障碍，达到美国纽约心脏病学</w:t>
      </w:r>
      <w:r>
        <w:rPr/>
        <w:t>会（New</w:t>
      </w:r>
      <w:r>
        <w:rPr>
          <w:spacing w:val="-29"/>
        </w:rPr>
        <w:t> </w:t>
      </w:r>
      <w:r>
        <w:rPr/>
        <w:t>York</w:t>
      </w:r>
      <w:r>
        <w:rPr>
          <w:spacing w:val="-31"/>
        </w:rPr>
        <w:t> </w:t>
      </w:r>
      <w:r>
        <w:rPr/>
        <w:t>Heart</w:t>
      </w:r>
      <w:r>
        <w:rPr>
          <w:spacing w:val="-31"/>
        </w:rPr>
        <w:t> </w:t>
      </w:r>
      <w:r>
        <w:rPr/>
        <w:t>Association，NYHA）</w:t>
      </w:r>
      <w:r>
        <w:rPr>
          <w:spacing w:val="-3"/>
        </w:rPr>
        <w:t>心功能分级状态分级Ⅳ级，且需持续至少 </w:t>
      </w:r>
      <w:r>
        <w:rPr/>
        <w:t>90</w:t>
      </w:r>
      <w:r>
        <w:rPr>
          <w:spacing w:val="-19"/>
        </w:rPr>
        <w:t> 天。</w:t>
      </w:r>
      <w:r>
        <w:rPr>
          <w:b/>
          <w:spacing w:val="-2"/>
        </w:rPr>
        <w:t>十三、重症手足口病</w:t>
      </w:r>
    </w:p>
    <w:p>
      <w:pPr>
        <w:spacing w:after="0" w:line="278" w:lineRule="auto"/>
        <w:sectPr>
          <w:pgSz w:w="11910" w:h="16840"/>
          <w:pgMar w:header="0" w:footer="1005" w:top="1400" w:bottom="1200" w:left="1560" w:right="240"/>
        </w:sectPr>
      </w:pPr>
    </w:p>
    <w:p>
      <w:pPr>
        <w:pStyle w:val="BodyText"/>
        <w:spacing w:line="278" w:lineRule="auto" w:before="44"/>
        <w:ind w:right="1549"/>
      </w:pPr>
      <w:r>
        <w:rPr>
          <w:spacing w:val="-4"/>
        </w:rPr>
        <w:t>由肠道病毒引起的急性传染病，主要症状表现为手、足、口腔等部位的斑丘疹、疱疹。经本</w:t>
      </w:r>
      <w:r>
        <w:rPr>
          <w:spacing w:val="-2"/>
        </w:rPr>
        <w:t>公司认可的医院的专科医生确诊为患有手足口病，并伴有下列三项中的任意一项并发症：</w:t>
      </w:r>
    </w:p>
    <w:p>
      <w:pPr>
        <w:pStyle w:val="ListParagraph"/>
        <w:numPr>
          <w:ilvl w:val="0"/>
          <w:numId w:val="106"/>
        </w:numPr>
        <w:tabs>
          <w:tab w:pos="767" w:val="left" w:leader="none"/>
        </w:tabs>
        <w:spacing w:line="240" w:lineRule="auto" w:before="0" w:after="0"/>
        <w:ind w:left="767" w:right="0" w:hanging="529"/>
        <w:jc w:val="left"/>
        <w:rPr>
          <w:sz w:val="21"/>
        </w:rPr>
      </w:pPr>
      <w:r>
        <w:rPr>
          <w:spacing w:val="-3"/>
          <w:sz w:val="21"/>
        </w:rPr>
        <w:t>有脑膜炎或脑炎并发症，且导致意识障碍或瘫痪的临床表现及实验室检查证据；</w:t>
      </w:r>
    </w:p>
    <w:p>
      <w:pPr>
        <w:pStyle w:val="ListParagraph"/>
        <w:numPr>
          <w:ilvl w:val="0"/>
          <w:numId w:val="106"/>
        </w:numPr>
        <w:tabs>
          <w:tab w:pos="767" w:val="left" w:leader="none"/>
        </w:tabs>
        <w:spacing w:line="240" w:lineRule="auto" w:before="43" w:after="0"/>
        <w:ind w:left="767" w:right="0" w:hanging="529"/>
        <w:jc w:val="left"/>
        <w:rPr>
          <w:sz w:val="21"/>
        </w:rPr>
      </w:pPr>
      <w:r>
        <w:rPr>
          <w:spacing w:val="-3"/>
          <w:sz w:val="21"/>
        </w:rPr>
        <w:t>有肺炎或肺水肿并发症，且导致呼吸衰竭的临床表现及实验室检查证据；</w:t>
      </w:r>
    </w:p>
    <w:p>
      <w:pPr>
        <w:pStyle w:val="ListParagraph"/>
        <w:numPr>
          <w:ilvl w:val="0"/>
          <w:numId w:val="106"/>
        </w:numPr>
        <w:tabs>
          <w:tab w:pos="767" w:val="left" w:leader="none"/>
        </w:tabs>
        <w:spacing w:line="278" w:lineRule="auto" w:before="43" w:after="0"/>
        <w:ind w:left="238" w:right="2405" w:firstLine="0"/>
        <w:jc w:val="left"/>
        <w:rPr>
          <w:b/>
          <w:sz w:val="21"/>
        </w:rPr>
      </w:pPr>
      <w:r>
        <w:rPr>
          <w:spacing w:val="-2"/>
          <w:sz w:val="21"/>
        </w:rPr>
        <w:t>有心肌炎并发症，且导致心脏扩大或心力衰竭的临床表现及实验室检查证。</w:t>
      </w:r>
      <w:r>
        <w:rPr>
          <w:b/>
          <w:spacing w:val="-2"/>
          <w:sz w:val="21"/>
        </w:rPr>
        <w:t>十四、瑞氏综合征</w:t>
      </w:r>
    </w:p>
    <w:p>
      <w:pPr>
        <w:pStyle w:val="BodyText"/>
        <w:spacing w:line="278" w:lineRule="auto"/>
        <w:ind w:right="1551"/>
      </w:pPr>
      <w:r>
        <w:rPr>
          <w:spacing w:val="-4"/>
        </w:rPr>
        <w:t>瑞氏综合征是线粒体功能障碍性疾病。导致脂肪代谢障碍，引起短链脂肪酸、血氨升高，造</w:t>
      </w:r>
      <w:r>
        <w:rPr>
          <w:spacing w:val="-2"/>
        </w:rPr>
        <w:t>成脑水肿。主要临床表现为急性发热、反复呕吐、惊厥及意识障碍等。</w:t>
      </w:r>
    </w:p>
    <w:p>
      <w:pPr>
        <w:pStyle w:val="BodyText"/>
        <w:spacing w:line="278" w:lineRule="auto"/>
        <w:ind w:right="1549"/>
      </w:pPr>
      <w:r>
        <w:rPr>
          <w:spacing w:val="-4"/>
        </w:rPr>
        <w:t>肝脏活检是确诊的重要手段。瑞氏综合征需由三级医院的儿科专科医生确诊，并符合下列所</w:t>
      </w:r>
      <w:r>
        <w:rPr>
          <w:spacing w:val="-4"/>
        </w:rPr>
        <w:t>有条件：</w:t>
      </w:r>
    </w:p>
    <w:p>
      <w:pPr>
        <w:pStyle w:val="ListParagraph"/>
        <w:numPr>
          <w:ilvl w:val="0"/>
          <w:numId w:val="107"/>
        </w:numPr>
        <w:tabs>
          <w:tab w:pos="767" w:val="left" w:leader="none"/>
        </w:tabs>
        <w:spacing w:line="269" w:lineRule="exact" w:before="0" w:after="0"/>
        <w:ind w:left="767" w:right="0" w:hanging="529"/>
        <w:jc w:val="left"/>
        <w:rPr>
          <w:sz w:val="21"/>
        </w:rPr>
      </w:pPr>
      <w:r>
        <w:rPr>
          <w:spacing w:val="-3"/>
          <w:sz w:val="21"/>
        </w:rPr>
        <w:t>有脑水肿和颅内压升高的脑脊液检查和影像学检查证据；</w:t>
      </w:r>
    </w:p>
    <w:p>
      <w:pPr>
        <w:pStyle w:val="ListParagraph"/>
        <w:numPr>
          <w:ilvl w:val="0"/>
          <w:numId w:val="107"/>
        </w:numPr>
        <w:tabs>
          <w:tab w:pos="767" w:val="left" w:leader="none"/>
        </w:tabs>
        <w:spacing w:line="240" w:lineRule="auto" w:before="43" w:after="0"/>
        <w:ind w:left="767" w:right="0" w:hanging="529"/>
        <w:jc w:val="left"/>
        <w:rPr>
          <w:sz w:val="21"/>
        </w:rPr>
      </w:pPr>
      <w:r>
        <w:rPr>
          <w:spacing w:val="-8"/>
          <w:sz w:val="21"/>
        </w:rPr>
        <w:t>血氨超过正常值的 </w:t>
      </w:r>
      <w:r>
        <w:rPr>
          <w:spacing w:val="-2"/>
          <w:sz w:val="21"/>
        </w:rPr>
        <w:t>3</w:t>
      </w:r>
      <w:r>
        <w:rPr>
          <w:spacing w:val="-21"/>
          <w:sz w:val="21"/>
        </w:rPr>
        <w:t> 倍；</w:t>
      </w:r>
    </w:p>
    <w:p>
      <w:pPr>
        <w:pStyle w:val="ListParagraph"/>
        <w:numPr>
          <w:ilvl w:val="0"/>
          <w:numId w:val="107"/>
        </w:numPr>
        <w:tabs>
          <w:tab w:pos="767" w:val="left" w:leader="none"/>
        </w:tabs>
        <w:spacing w:line="278" w:lineRule="auto" w:before="43" w:after="0"/>
        <w:ind w:left="238" w:right="4931" w:firstLine="0"/>
        <w:jc w:val="left"/>
        <w:rPr>
          <w:b/>
          <w:sz w:val="21"/>
        </w:rPr>
      </w:pPr>
      <w:r>
        <w:rPr>
          <w:spacing w:val="-5"/>
          <w:sz w:val="21"/>
        </w:rPr>
        <w:t>临床出现昏迷，病程至少达到疾病分期第 </w:t>
      </w:r>
      <w:r>
        <w:rPr>
          <w:spacing w:val="-2"/>
          <w:sz w:val="21"/>
        </w:rPr>
        <w:t>3</w:t>
      </w:r>
      <w:r>
        <w:rPr>
          <w:spacing w:val="-19"/>
          <w:sz w:val="21"/>
        </w:rPr>
        <w:t> 期。</w:t>
      </w:r>
      <w:r>
        <w:rPr>
          <w:b/>
          <w:spacing w:val="-2"/>
          <w:sz w:val="21"/>
        </w:rPr>
        <w:t>十五、严重肌营养不良症</w:t>
      </w:r>
    </w:p>
    <w:p>
      <w:pPr>
        <w:pStyle w:val="BodyText"/>
        <w:spacing w:line="278" w:lineRule="auto"/>
        <w:ind w:right="1549"/>
      </w:pPr>
      <w:r>
        <w:rPr>
          <w:spacing w:val="-4"/>
        </w:rPr>
        <w:t>指一组原发于肌肉的遗传性疾病，临床表现为与神经系统无关的肌肉无力和肌肉萎缩。须满</w:t>
      </w:r>
      <w:r>
        <w:rPr>
          <w:spacing w:val="-2"/>
        </w:rPr>
        <w:t>足下列全部条件：</w:t>
      </w:r>
    </w:p>
    <w:p>
      <w:pPr>
        <w:pStyle w:val="ListParagraph"/>
        <w:numPr>
          <w:ilvl w:val="0"/>
          <w:numId w:val="108"/>
        </w:numPr>
        <w:tabs>
          <w:tab w:pos="767" w:val="left" w:leader="none"/>
        </w:tabs>
        <w:spacing w:line="269" w:lineRule="exact" w:before="0" w:after="0"/>
        <w:ind w:left="767" w:right="0" w:hanging="529"/>
        <w:jc w:val="left"/>
        <w:rPr>
          <w:sz w:val="21"/>
        </w:rPr>
      </w:pPr>
      <w:r>
        <w:rPr>
          <w:spacing w:val="-3"/>
          <w:sz w:val="21"/>
        </w:rPr>
        <w:t>肌肉组织活检结果满足肌营养不良症的肌肉细胞变性、坏死等阳性改变；</w:t>
      </w:r>
    </w:p>
    <w:p>
      <w:pPr>
        <w:pStyle w:val="ListParagraph"/>
        <w:numPr>
          <w:ilvl w:val="0"/>
          <w:numId w:val="108"/>
        </w:numPr>
        <w:tabs>
          <w:tab w:pos="767" w:val="left" w:leader="none"/>
        </w:tabs>
        <w:spacing w:line="278" w:lineRule="auto" w:before="43" w:after="0"/>
        <w:ind w:left="238" w:right="1565" w:firstLine="0"/>
        <w:jc w:val="left"/>
        <w:rPr>
          <w:b/>
          <w:sz w:val="21"/>
        </w:rPr>
      </w:pPr>
      <w:r>
        <w:rPr>
          <w:spacing w:val="-2"/>
          <w:sz w:val="21"/>
        </w:rPr>
        <w:t>自主生活能力完全丧失，无法独立完成六项基本日常生活活动中的三项或三项以上。</w:t>
      </w:r>
      <w:r>
        <w:rPr>
          <w:b/>
          <w:spacing w:val="-2"/>
          <w:sz w:val="21"/>
        </w:rPr>
        <w:t>本公司承担本项疾病责任不受本合同责任免除中“遗传性疾病，先天性畸形、变形或染色</w:t>
      </w:r>
      <w:r>
        <w:rPr>
          <w:b/>
          <w:spacing w:val="-2"/>
          <w:sz w:val="21"/>
        </w:rPr>
        <w:t>体异常”的限制。</w:t>
      </w:r>
    </w:p>
    <w:p>
      <w:pPr>
        <w:pStyle w:val="Heading5"/>
        <w:spacing w:line="269" w:lineRule="exact"/>
      </w:pPr>
      <w:r>
        <w:rPr>
          <w:spacing w:val="-2"/>
        </w:rPr>
        <w:t>十六、严重脑损伤</w:t>
      </w:r>
    </w:p>
    <w:p>
      <w:pPr>
        <w:pStyle w:val="BodyText"/>
        <w:spacing w:line="278" w:lineRule="auto" w:before="43"/>
        <w:ind w:right="1445"/>
      </w:pPr>
      <w:r>
        <w:rPr>
          <w:spacing w:val="-2"/>
        </w:rPr>
        <w:t>指因头部遭受机械性外力，引起脑重要部位损伤，导致神经系统永久性的功能障碍。须由头</w:t>
      </w:r>
      <w:r>
        <w:rPr>
          <w:spacing w:val="-6"/>
        </w:rPr>
        <w:t>颅断层扫描</w:t>
      </w:r>
      <w:r>
        <w:rPr>
          <w:spacing w:val="20"/>
        </w:rPr>
        <w:t>（</w:t>
      </w:r>
      <w:r>
        <w:rPr>
          <w:spacing w:val="18"/>
        </w:rPr>
        <w:t>C</w:t>
      </w:r>
      <w:r>
        <w:rPr>
          <w:spacing w:val="21"/>
        </w:rPr>
        <w:t>T</w:t>
      </w:r>
      <w:r>
        <w:rPr>
          <w:spacing w:val="-85"/>
        </w:rPr>
        <w:t>）</w:t>
      </w:r>
      <w:r>
        <w:rPr>
          <w:spacing w:val="-6"/>
        </w:rPr>
        <w:t>、核磁共振检查（MRI）或正电子发射断层扫描（PET）等影像学检查证实。</w:t>
      </w:r>
      <w:r>
        <w:rPr>
          <w:spacing w:val="-2"/>
        </w:rPr>
        <w:t>神经系统永久性的功能障碍，指脑损伤 </w:t>
      </w:r>
      <w:r>
        <w:rPr/>
        <w:t>180</w:t>
      </w:r>
      <w:r>
        <w:rPr>
          <w:spacing w:val="-5"/>
        </w:rPr>
        <w:t> 天后，仍遗留下列至少一种障碍：</w:t>
      </w:r>
    </w:p>
    <w:p>
      <w:pPr>
        <w:pStyle w:val="ListParagraph"/>
        <w:numPr>
          <w:ilvl w:val="0"/>
          <w:numId w:val="109"/>
        </w:numPr>
        <w:tabs>
          <w:tab w:pos="767" w:val="left" w:leader="none"/>
        </w:tabs>
        <w:spacing w:line="269" w:lineRule="exact" w:before="0" w:after="0"/>
        <w:ind w:left="767" w:right="0" w:hanging="529"/>
        <w:jc w:val="left"/>
        <w:rPr>
          <w:sz w:val="21"/>
        </w:rPr>
      </w:pPr>
      <w:r>
        <w:rPr>
          <w:spacing w:val="-2"/>
          <w:sz w:val="21"/>
        </w:rPr>
        <w:t>一肢（含）</w:t>
      </w:r>
      <w:r>
        <w:rPr>
          <w:spacing w:val="-9"/>
          <w:sz w:val="21"/>
        </w:rPr>
        <w:t>以上肢体肌力 </w:t>
      </w:r>
      <w:r>
        <w:rPr>
          <w:spacing w:val="-2"/>
          <w:sz w:val="21"/>
        </w:rPr>
        <w:t>2</w:t>
      </w:r>
      <w:r>
        <w:rPr>
          <w:spacing w:val="-26"/>
          <w:sz w:val="21"/>
        </w:rPr>
        <w:t> 级</w:t>
      </w:r>
      <w:r>
        <w:rPr>
          <w:spacing w:val="-2"/>
          <w:sz w:val="21"/>
        </w:rPr>
        <w:t>（含）</w:t>
      </w:r>
      <w:r>
        <w:rPr>
          <w:spacing w:val="-5"/>
          <w:sz w:val="21"/>
        </w:rPr>
        <w:t>以下；</w:t>
      </w:r>
    </w:p>
    <w:p>
      <w:pPr>
        <w:pStyle w:val="ListParagraph"/>
        <w:numPr>
          <w:ilvl w:val="0"/>
          <w:numId w:val="109"/>
        </w:numPr>
        <w:tabs>
          <w:tab w:pos="767" w:val="left" w:leader="none"/>
        </w:tabs>
        <w:spacing w:line="240" w:lineRule="auto" w:before="43" w:after="0"/>
        <w:ind w:left="767" w:right="0" w:hanging="529"/>
        <w:jc w:val="left"/>
        <w:rPr>
          <w:sz w:val="21"/>
        </w:rPr>
      </w:pPr>
      <w:r>
        <w:rPr>
          <w:spacing w:val="-3"/>
          <w:sz w:val="21"/>
        </w:rPr>
        <w:t>语言能力完全丧失，或严重咀嚼吞咽功能障碍；</w:t>
      </w:r>
    </w:p>
    <w:p>
      <w:pPr>
        <w:pStyle w:val="ListParagraph"/>
        <w:numPr>
          <w:ilvl w:val="0"/>
          <w:numId w:val="109"/>
        </w:numPr>
        <w:tabs>
          <w:tab w:pos="767" w:val="left" w:leader="none"/>
        </w:tabs>
        <w:spacing w:line="278" w:lineRule="auto" w:before="43" w:after="0"/>
        <w:ind w:left="238" w:right="1565" w:firstLine="0"/>
        <w:jc w:val="left"/>
        <w:rPr>
          <w:b/>
          <w:sz w:val="21"/>
        </w:rPr>
      </w:pPr>
      <w:r>
        <w:rPr>
          <w:spacing w:val="-2"/>
          <w:sz w:val="21"/>
        </w:rPr>
        <w:t>自主生活能力完全丧失，无法独立完成六项基本日常生活活动中的三项或三项以上。</w:t>
      </w:r>
      <w:r>
        <w:rPr>
          <w:b/>
          <w:spacing w:val="-2"/>
          <w:sz w:val="21"/>
        </w:rPr>
        <w:t>十七、严重获得性或继发性肺泡蛋白质沉积症</w:t>
      </w:r>
    </w:p>
    <w:p>
      <w:pPr>
        <w:pStyle w:val="BodyText"/>
        <w:spacing w:line="278" w:lineRule="auto"/>
        <w:ind w:right="1548"/>
      </w:pPr>
      <w:r>
        <w:rPr>
          <w:spacing w:val="-5"/>
        </w:rPr>
        <w:t>因获得性或继发性原因导致双肺肺泡和细支气管腔内充满不可溶性富磷脂蛋白的疾病。理赔</w:t>
      </w:r>
      <w:r>
        <w:rPr>
          <w:spacing w:val="-2"/>
        </w:rPr>
        <w:t>时须满足下列所有条件：</w:t>
      </w:r>
    </w:p>
    <w:p>
      <w:pPr>
        <w:pStyle w:val="ListParagraph"/>
        <w:numPr>
          <w:ilvl w:val="0"/>
          <w:numId w:val="110"/>
        </w:numPr>
        <w:tabs>
          <w:tab w:pos="767" w:val="left" w:leader="none"/>
        </w:tabs>
        <w:spacing w:line="278" w:lineRule="auto" w:before="0" w:after="0"/>
        <w:ind w:left="238" w:right="1549" w:firstLine="0"/>
        <w:jc w:val="left"/>
        <w:rPr>
          <w:sz w:val="21"/>
        </w:rPr>
      </w:pPr>
      <w:r>
        <w:rPr>
          <w:spacing w:val="-2"/>
          <w:sz w:val="21"/>
        </w:rPr>
        <w:t>支气管镜活检或开胸肺活检病理检查证实肺泡内充满有过碘酸雪夫（PAS）染色阳性</w:t>
      </w:r>
      <w:r>
        <w:rPr>
          <w:spacing w:val="-2"/>
          <w:sz w:val="21"/>
        </w:rPr>
        <w:t>的蛋白样物质；</w:t>
      </w:r>
    </w:p>
    <w:p>
      <w:pPr>
        <w:pStyle w:val="ListParagraph"/>
        <w:numPr>
          <w:ilvl w:val="0"/>
          <w:numId w:val="110"/>
        </w:numPr>
        <w:tabs>
          <w:tab w:pos="767" w:val="left" w:leader="none"/>
        </w:tabs>
        <w:spacing w:line="278" w:lineRule="auto" w:before="0" w:after="0"/>
        <w:ind w:left="238" w:right="1985" w:firstLine="0"/>
        <w:jc w:val="left"/>
        <w:rPr>
          <w:b/>
          <w:sz w:val="21"/>
        </w:rPr>
      </w:pPr>
      <w:r>
        <w:rPr>
          <w:spacing w:val="-2"/>
          <w:sz w:val="21"/>
        </w:rPr>
        <w:t>被保险人因中重度呼吸困难或低氧血症而实际已行全身麻醉下的全肺灌洗治疗。</w:t>
      </w:r>
      <w:r>
        <w:rPr>
          <w:b/>
          <w:spacing w:val="-4"/>
          <w:sz w:val="21"/>
        </w:rPr>
        <w:t>十八、严重 </w:t>
      </w:r>
      <w:r>
        <w:rPr>
          <w:b/>
          <w:sz w:val="21"/>
        </w:rPr>
        <w:t>1</w:t>
      </w:r>
      <w:r>
        <w:rPr>
          <w:b/>
          <w:spacing w:val="-5"/>
          <w:sz w:val="21"/>
        </w:rPr>
        <w:t> 型糖尿病</w:t>
      </w:r>
    </w:p>
    <w:p>
      <w:pPr>
        <w:pStyle w:val="BodyText"/>
        <w:spacing w:line="278" w:lineRule="auto"/>
        <w:ind w:right="1549"/>
        <w:jc w:val="both"/>
      </w:pPr>
      <w:r>
        <w:rPr>
          <w:spacing w:val="-10"/>
        </w:rPr>
        <w:t>严重 </w:t>
      </w:r>
      <w:r>
        <w:rPr>
          <w:spacing w:val="-2"/>
        </w:rPr>
        <w:t>1</w:t>
      </w:r>
      <w:r>
        <w:rPr>
          <w:spacing w:val="-11"/>
        </w:rPr>
        <w:t> 型糖尿病指由于胰岛素分泌绝对不足引起的慢性血糖升高，且已经持续性地依赖外源</w:t>
      </w:r>
      <w:r>
        <w:rPr>
          <w:w w:val="95"/>
        </w:rPr>
        <w:t>性</w:t>
      </w:r>
      <w:r>
        <w:rPr>
          <w:w w:val="95"/>
        </w:rPr>
        <w:t>胰</w:t>
      </w:r>
      <w:r>
        <w:rPr>
          <w:w w:val="95"/>
        </w:rPr>
        <w:t>岛素维持 180</w:t>
      </w:r>
      <w:r>
        <w:rPr>
          <w:spacing w:val="-1"/>
          <w:w w:val="95"/>
        </w:rPr>
        <w:t> 日以上。须经血胰岛素测定、血 </w:t>
      </w:r>
      <w:r>
        <w:rPr>
          <w:w w:val="95"/>
        </w:rPr>
        <w:t>C 肽测定或尿 C</w:t>
      </w:r>
      <w:r>
        <w:rPr>
          <w:spacing w:val="-2"/>
          <w:w w:val="95"/>
        </w:rPr>
        <w:t> 肽测定，结</w:t>
      </w:r>
      <w:r>
        <w:rPr>
          <w:w w:val="95"/>
        </w:rPr>
        <w:t>果</w:t>
      </w:r>
      <w:r>
        <w:rPr>
          <w:w w:val="95"/>
        </w:rPr>
        <w:t>异</w:t>
      </w:r>
      <w:r>
        <w:rPr>
          <w:w w:val="95"/>
        </w:rPr>
        <w:t>常，</w:t>
      </w:r>
      <w:r>
        <w:rPr>
          <w:w w:val="95"/>
        </w:rPr>
        <w:t>并</w:t>
      </w:r>
      <w:r>
        <w:rPr>
          <w:w w:val="95"/>
        </w:rPr>
        <w:t>由</w:t>
      </w:r>
      <w:r>
        <w:rPr>
          <w:spacing w:val="-1"/>
        </w:rPr>
        <w:t>内分泌科专科医生明确诊断。并须在本合同有效期内，满足下述至少 </w:t>
      </w:r>
      <w:r>
        <w:rPr/>
        <w:t>1</w:t>
      </w:r>
      <w:r>
        <w:rPr>
          <w:spacing w:val="-6"/>
        </w:rPr>
        <w:t> 个条件：</w:t>
      </w:r>
    </w:p>
    <w:p>
      <w:pPr>
        <w:pStyle w:val="ListParagraph"/>
        <w:numPr>
          <w:ilvl w:val="0"/>
          <w:numId w:val="111"/>
        </w:numPr>
        <w:tabs>
          <w:tab w:pos="767" w:val="left" w:leader="none"/>
        </w:tabs>
        <w:spacing w:line="240" w:lineRule="auto" w:before="0" w:after="0"/>
        <w:ind w:left="767" w:right="0" w:hanging="529"/>
        <w:jc w:val="left"/>
        <w:rPr>
          <w:sz w:val="21"/>
        </w:rPr>
      </w:pPr>
      <w:r>
        <w:rPr>
          <w:spacing w:val="-3"/>
          <w:sz w:val="21"/>
        </w:rPr>
        <w:t>已出现增殖性视网膜病变；</w:t>
      </w:r>
    </w:p>
    <w:p>
      <w:pPr>
        <w:pStyle w:val="ListParagraph"/>
        <w:numPr>
          <w:ilvl w:val="0"/>
          <w:numId w:val="111"/>
        </w:numPr>
        <w:tabs>
          <w:tab w:pos="767" w:val="left" w:leader="none"/>
        </w:tabs>
        <w:spacing w:line="240" w:lineRule="auto" w:before="42" w:after="0"/>
        <w:ind w:left="767" w:right="0" w:hanging="529"/>
        <w:jc w:val="left"/>
        <w:rPr>
          <w:sz w:val="21"/>
        </w:rPr>
      </w:pPr>
      <w:r>
        <w:rPr>
          <w:spacing w:val="-3"/>
          <w:sz w:val="21"/>
        </w:rPr>
        <w:t>须植入心脏起搏器治疗心脏病；</w:t>
      </w:r>
    </w:p>
    <w:p>
      <w:pPr>
        <w:pStyle w:val="ListParagraph"/>
        <w:numPr>
          <w:ilvl w:val="0"/>
          <w:numId w:val="111"/>
        </w:numPr>
        <w:tabs>
          <w:tab w:pos="767" w:val="left" w:leader="none"/>
        </w:tabs>
        <w:spacing w:line="278" w:lineRule="auto" w:before="43" w:after="0"/>
        <w:ind w:left="238" w:right="1985" w:firstLine="0"/>
        <w:jc w:val="left"/>
        <w:rPr>
          <w:b/>
          <w:sz w:val="21"/>
        </w:rPr>
      </w:pPr>
      <w:r>
        <w:rPr>
          <w:spacing w:val="-2"/>
          <w:sz w:val="21"/>
        </w:rPr>
        <w:t>在本公司认可医院内已经进行了医疗必须的由足踝或以上位置的单足截除手术。</w:t>
      </w:r>
      <w:r>
        <w:rPr>
          <w:b/>
          <w:spacing w:val="-2"/>
          <w:sz w:val="21"/>
        </w:rPr>
        <w:t>十九、全身性（型）重症肌无力</w:t>
      </w:r>
    </w:p>
    <w:p>
      <w:pPr>
        <w:pStyle w:val="BodyText"/>
        <w:spacing w:line="278" w:lineRule="auto"/>
        <w:ind w:right="1445"/>
      </w:pPr>
      <w:r>
        <w:rPr>
          <w:spacing w:val="-6"/>
        </w:rPr>
        <w:t>指一种神经与肌肉接头部位传递障碍的自身免疫性疾病，临床特征是局部或全身横纹肌于活</w:t>
      </w:r>
      <w:r>
        <w:rPr>
          <w:spacing w:val="-15"/>
        </w:rPr>
        <w:t>动时易于疲劳无力，颅神经眼外肌最易累及，也可涉及呼吸肌、下肢近端肌群以至全身肌肉，</w:t>
      </w:r>
      <w:r>
        <w:rPr>
          <w:spacing w:val="-2"/>
        </w:rPr>
        <w:t>须经本公司认可的神经科专科医生确诊。其诊断必须同时具有下列情况：</w:t>
      </w:r>
    </w:p>
    <w:p>
      <w:pPr>
        <w:spacing w:after="0" w:line="278" w:lineRule="auto"/>
        <w:sectPr>
          <w:pgSz w:w="11910" w:h="16840"/>
          <w:pgMar w:header="0" w:footer="1005" w:top="1400" w:bottom="1200" w:left="1560" w:right="240"/>
        </w:sectPr>
      </w:pPr>
    </w:p>
    <w:p>
      <w:pPr>
        <w:pStyle w:val="ListParagraph"/>
        <w:numPr>
          <w:ilvl w:val="0"/>
          <w:numId w:val="112"/>
        </w:numPr>
        <w:tabs>
          <w:tab w:pos="767" w:val="left" w:leader="none"/>
        </w:tabs>
        <w:spacing w:line="240" w:lineRule="auto" w:before="44" w:after="0"/>
        <w:ind w:left="767" w:right="0" w:hanging="529"/>
        <w:jc w:val="left"/>
        <w:rPr>
          <w:sz w:val="21"/>
        </w:rPr>
      </w:pPr>
      <w:r>
        <w:rPr>
          <w:spacing w:val="-3"/>
          <w:sz w:val="21"/>
        </w:rPr>
        <w:t>经药物、胸腺手术治疗一年以上无法控制病情，丧失正常工作能力；</w:t>
      </w:r>
    </w:p>
    <w:p>
      <w:pPr>
        <w:pStyle w:val="ListParagraph"/>
        <w:numPr>
          <w:ilvl w:val="0"/>
          <w:numId w:val="112"/>
        </w:numPr>
        <w:tabs>
          <w:tab w:pos="767" w:val="left" w:leader="none"/>
        </w:tabs>
        <w:spacing w:line="278" w:lineRule="auto" w:before="43" w:after="0"/>
        <w:ind w:left="238" w:right="1462" w:firstLine="0"/>
        <w:jc w:val="left"/>
        <w:rPr>
          <w:sz w:val="21"/>
        </w:rPr>
      </w:pPr>
      <w:r>
        <w:rPr>
          <w:spacing w:val="-2"/>
          <w:sz w:val="21"/>
        </w:rPr>
        <w:t>出现眼睑下垂，或延髓肌受累引起的构音困难、进食呛咳,或由于肌无力累及延髓肌、</w:t>
      </w:r>
      <w:r>
        <w:rPr>
          <w:spacing w:val="-2"/>
          <w:sz w:val="21"/>
        </w:rPr>
        <w:t>呼吸肌而致机体呼吸功能不正常的危急状态即肌无力危象；</w:t>
      </w:r>
    </w:p>
    <w:p>
      <w:pPr>
        <w:pStyle w:val="ListParagraph"/>
        <w:numPr>
          <w:ilvl w:val="0"/>
          <w:numId w:val="112"/>
        </w:numPr>
        <w:tabs>
          <w:tab w:pos="767" w:val="left" w:leader="none"/>
        </w:tabs>
        <w:spacing w:line="278" w:lineRule="auto" w:before="0" w:after="0"/>
        <w:ind w:left="238" w:right="1565" w:firstLine="0"/>
        <w:jc w:val="left"/>
        <w:rPr>
          <w:b/>
          <w:sz w:val="21"/>
        </w:rPr>
      </w:pPr>
      <w:r>
        <w:rPr>
          <w:spacing w:val="-2"/>
          <w:sz w:val="21"/>
        </w:rPr>
        <w:t>症状缓解、复发及恶化交替出现，临床接受新斯的明等抗胆碱酯酶药物治疗的病史。</w:t>
      </w:r>
      <w:r>
        <w:rPr>
          <w:b/>
          <w:spacing w:val="-2"/>
          <w:sz w:val="21"/>
        </w:rPr>
        <w:t>二十、肺淋巴管肌瘤病</w:t>
      </w:r>
    </w:p>
    <w:p>
      <w:pPr>
        <w:pStyle w:val="BodyText"/>
        <w:spacing w:line="278" w:lineRule="auto"/>
        <w:ind w:right="1548"/>
      </w:pPr>
      <w:r>
        <w:rPr>
          <w:spacing w:val="-4"/>
        </w:rPr>
        <w:t>肺淋巴管肌瘤病是一种弥漫性肺部疾病，主要病理改变为肺间质、支气管、血管和淋巴管内</w:t>
      </w:r>
      <w:r>
        <w:rPr>
          <w:spacing w:val="-2"/>
        </w:rPr>
        <w:t>出现未成熟的平滑肌异常增生，需同时满足下列全部条件：</w:t>
      </w:r>
    </w:p>
    <w:p>
      <w:pPr>
        <w:pStyle w:val="ListParagraph"/>
        <w:numPr>
          <w:ilvl w:val="0"/>
          <w:numId w:val="113"/>
        </w:numPr>
        <w:tabs>
          <w:tab w:pos="767" w:val="left" w:leader="none"/>
        </w:tabs>
        <w:spacing w:line="269" w:lineRule="exact" w:before="0" w:after="0"/>
        <w:ind w:left="767" w:right="0" w:hanging="529"/>
        <w:jc w:val="left"/>
        <w:rPr>
          <w:sz w:val="21"/>
        </w:rPr>
      </w:pPr>
      <w:r>
        <w:rPr>
          <w:spacing w:val="-3"/>
          <w:sz w:val="21"/>
        </w:rPr>
        <w:t>经组织病理学诊断；</w:t>
      </w:r>
    </w:p>
    <w:p>
      <w:pPr>
        <w:pStyle w:val="ListParagraph"/>
        <w:numPr>
          <w:ilvl w:val="0"/>
          <w:numId w:val="113"/>
        </w:numPr>
        <w:tabs>
          <w:tab w:pos="767" w:val="left" w:leader="none"/>
        </w:tabs>
        <w:spacing w:line="240" w:lineRule="auto" w:before="43" w:after="0"/>
        <w:ind w:left="767" w:right="0" w:hanging="529"/>
        <w:jc w:val="left"/>
        <w:rPr>
          <w:sz w:val="21"/>
        </w:rPr>
      </w:pPr>
      <w:r>
        <w:rPr>
          <w:spacing w:val="-2"/>
          <w:sz w:val="21"/>
        </w:rPr>
        <w:t>CT</w:t>
      </w:r>
      <w:r>
        <w:rPr>
          <w:spacing w:val="-10"/>
          <w:sz w:val="21"/>
        </w:rPr>
        <w:t> 显示双肺弥漫性囊性改变；</w:t>
      </w:r>
    </w:p>
    <w:p>
      <w:pPr>
        <w:pStyle w:val="ListParagraph"/>
        <w:numPr>
          <w:ilvl w:val="0"/>
          <w:numId w:val="113"/>
        </w:numPr>
        <w:tabs>
          <w:tab w:pos="767" w:val="left" w:leader="none"/>
        </w:tabs>
        <w:spacing w:line="278" w:lineRule="auto" w:before="43" w:after="0"/>
        <w:ind w:left="238" w:right="1565" w:firstLine="0"/>
        <w:jc w:val="left"/>
        <w:rPr>
          <w:b/>
          <w:sz w:val="21"/>
        </w:rPr>
      </w:pPr>
      <w:r>
        <w:rPr>
          <w:spacing w:val="-2"/>
          <w:sz w:val="21"/>
        </w:rPr>
        <w:t>休息时出现呼吸困难或并经本公司认可医院的专科医生认可有必要进行肺移植手术。</w:t>
      </w:r>
      <w:r>
        <w:rPr>
          <w:b/>
          <w:spacing w:val="-2"/>
          <w:sz w:val="21"/>
        </w:rPr>
        <w:t>二十一、淋巴瘤</w:t>
      </w:r>
    </w:p>
    <w:p>
      <w:pPr>
        <w:pStyle w:val="BodyText"/>
        <w:spacing w:line="278" w:lineRule="auto"/>
        <w:ind w:right="1443"/>
      </w:pPr>
      <w:r>
        <w:rPr>
          <w:spacing w:val="-12"/>
        </w:rPr>
        <w:t>指原发于淋巴组织的恶性肿瘤，恶性肿瘤释义参考附表一重大疾病中的“恶性肿瘤——重度”</w:t>
      </w:r>
      <w:r>
        <w:rPr>
          <w:spacing w:val="-4"/>
        </w:rPr>
        <w:t>释义。</w:t>
      </w:r>
    </w:p>
    <w:p>
      <w:pPr>
        <w:spacing w:before="0"/>
        <w:ind w:left="238" w:right="0" w:firstLine="0"/>
        <w:jc w:val="left"/>
        <w:rPr>
          <w:b/>
          <w:sz w:val="21"/>
        </w:rPr>
      </w:pPr>
      <w:r>
        <w:rPr>
          <w:b/>
          <w:spacing w:val="-3"/>
          <w:sz w:val="21"/>
        </w:rPr>
        <w:t>下列疾病不在保障范围内：</w:t>
      </w:r>
    </w:p>
    <w:p>
      <w:pPr>
        <w:pStyle w:val="ListParagraph"/>
        <w:numPr>
          <w:ilvl w:val="0"/>
          <w:numId w:val="114"/>
        </w:numPr>
        <w:tabs>
          <w:tab w:pos="767" w:val="left" w:leader="none"/>
        </w:tabs>
        <w:spacing w:line="278" w:lineRule="auto" w:before="43" w:after="0"/>
        <w:ind w:left="238" w:right="1551" w:firstLine="0"/>
        <w:jc w:val="left"/>
        <w:rPr>
          <w:b/>
          <w:sz w:val="21"/>
        </w:rPr>
      </w:pPr>
      <w:r>
        <w:rPr>
          <w:b/>
          <w:sz w:val="21"/>
        </w:rPr>
        <w:t>ICD-O-3</w:t>
      </w:r>
      <w:r>
        <w:rPr>
          <w:b/>
          <w:spacing w:val="-8"/>
          <w:sz w:val="21"/>
        </w:rPr>
        <w:t> 肿瘤形态学编码属于 </w:t>
      </w:r>
      <w:r>
        <w:rPr>
          <w:b/>
          <w:sz w:val="21"/>
        </w:rPr>
        <w:t>0（良性肿瘤</w:t>
      </w:r>
      <w:r>
        <w:rPr>
          <w:b/>
          <w:spacing w:val="-106"/>
          <w:sz w:val="21"/>
        </w:rPr>
        <w:t>）</w:t>
      </w:r>
      <w:r>
        <w:rPr>
          <w:b/>
          <w:sz w:val="21"/>
        </w:rPr>
        <w:t>、1（动态未定性肿瘤</w:t>
      </w:r>
      <w:r>
        <w:rPr>
          <w:b/>
          <w:spacing w:val="-106"/>
          <w:sz w:val="21"/>
        </w:rPr>
        <w:t>）</w:t>
      </w:r>
      <w:r>
        <w:rPr>
          <w:b/>
          <w:sz w:val="21"/>
        </w:rPr>
        <w:t>、2（原位癌和非</w:t>
      </w:r>
      <w:r>
        <w:rPr>
          <w:b/>
          <w:spacing w:val="-2"/>
          <w:sz w:val="21"/>
        </w:rPr>
        <w:t>侵袭性癌）范畴的疾病，如：</w:t>
      </w:r>
    </w:p>
    <w:p>
      <w:pPr>
        <w:pStyle w:val="ListParagraph"/>
        <w:numPr>
          <w:ilvl w:val="0"/>
          <w:numId w:val="115"/>
        </w:numPr>
        <w:tabs>
          <w:tab w:pos="452" w:val="left" w:leader="none"/>
        </w:tabs>
        <w:spacing w:line="278" w:lineRule="auto" w:before="0" w:after="0"/>
        <w:ind w:left="238" w:right="1549" w:firstLine="0"/>
        <w:jc w:val="left"/>
        <w:rPr>
          <w:b/>
          <w:sz w:val="21"/>
        </w:rPr>
      </w:pPr>
      <w:r>
        <w:rPr>
          <w:b/>
          <w:spacing w:val="-2"/>
          <w:sz w:val="21"/>
        </w:rPr>
        <w:t>原位癌，癌前病变，非浸润性癌，非侵袭性癌，肿瘤细胞未侵犯基底层，上皮内瘤变，</w:t>
      </w:r>
      <w:r>
        <w:rPr>
          <w:b/>
          <w:spacing w:val="-2"/>
          <w:sz w:val="21"/>
        </w:rPr>
        <w:t>细胞不典型性增生等；</w:t>
      </w:r>
    </w:p>
    <w:p>
      <w:pPr>
        <w:pStyle w:val="ListParagraph"/>
        <w:numPr>
          <w:ilvl w:val="0"/>
          <w:numId w:val="115"/>
        </w:numPr>
        <w:tabs>
          <w:tab w:pos="451" w:val="left" w:leader="none"/>
        </w:tabs>
        <w:spacing w:line="269" w:lineRule="exact" w:before="0" w:after="0"/>
        <w:ind w:left="450" w:right="0" w:hanging="213"/>
        <w:jc w:val="left"/>
        <w:rPr>
          <w:b/>
          <w:sz w:val="21"/>
        </w:rPr>
      </w:pPr>
      <w:r>
        <w:rPr>
          <w:b/>
          <w:spacing w:val="-3"/>
          <w:sz w:val="21"/>
        </w:rPr>
        <w:t>交界性肿瘤，交界恶性肿瘤，肿瘤低度恶性潜能，潜在低度恶性肿瘤等；</w:t>
      </w:r>
    </w:p>
    <w:p>
      <w:pPr>
        <w:pStyle w:val="ListParagraph"/>
        <w:numPr>
          <w:ilvl w:val="0"/>
          <w:numId w:val="114"/>
        </w:numPr>
        <w:tabs>
          <w:tab w:pos="767" w:val="left" w:leader="none"/>
        </w:tabs>
        <w:spacing w:line="240" w:lineRule="auto" w:before="43" w:after="0"/>
        <w:ind w:left="767" w:right="0" w:hanging="529"/>
        <w:jc w:val="left"/>
        <w:rPr>
          <w:b/>
          <w:sz w:val="21"/>
        </w:rPr>
      </w:pPr>
      <w:r>
        <w:rPr>
          <w:b/>
          <w:w w:val="95"/>
          <w:sz w:val="21"/>
        </w:rPr>
        <w:t>TNM</w:t>
      </w:r>
      <w:r>
        <w:rPr>
          <w:b/>
          <w:spacing w:val="60"/>
          <w:w w:val="150"/>
          <w:sz w:val="21"/>
        </w:rPr>
        <w:t> </w:t>
      </w:r>
      <w:r>
        <w:rPr>
          <w:b/>
          <w:w w:val="95"/>
          <w:sz w:val="21"/>
        </w:rPr>
        <w:t>分</w:t>
      </w:r>
      <w:r>
        <w:rPr>
          <w:b/>
          <w:w w:val="95"/>
          <w:sz w:val="21"/>
        </w:rPr>
        <w:t>期</w:t>
      </w:r>
      <w:r>
        <w:rPr>
          <w:b/>
          <w:w w:val="95"/>
          <w:sz w:val="21"/>
        </w:rPr>
        <w:t>为</w:t>
      </w:r>
      <w:r>
        <w:rPr>
          <w:b/>
          <w:w w:val="95"/>
          <w:sz w:val="21"/>
        </w:rPr>
        <w:t>Ⅰ</w:t>
      </w:r>
      <w:r>
        <w:rPr>
          <w:b/>
          <w:w w:val="95"/>
          <w:sz w:val="21"/>
        </w:rPr>
        <w:t>期</w:t>
      </w:r>
      <w:r>
        <w:rPr>
          <w:b/>
          <w:w w:val="95"/>
          <w:sz w:val="21"/>
        </w:rPr>
        <w:t>或</w:t>
      </w:r>
      <w:r>
        <w:rPr>
          <w:b/>
          <w:w w:val="95"/>
          <w:sz w:val="21"/>
        </w:rPr>
        <w:t>更</w:t>
      </w:r>
      <w:r>
        <w:rPr>
          <w:b/>
          <w:w w:val="95"/>
          <w:sz w:val="21"/>
        </w:rPr>
        <w:t>轻</w:t>
      </w:r>
      <w:r>
        <w:rPr>
          <w:b/>
          <w:w w:val="95"/>
          <w:sz w:val="21"/>
        </w:rPr>
        <w:t>分</w:t>
      </w:r>
      <w:r>
        <w:rPr>
          <w:b/>
          <w:w w:val="95"/>
          <w:sz w:val="21"/>
        </w:rPr>
        <w:t>期</w:t>
      </w:r>
      <w:r>
        <w:rPr>
          <w:b/>
          <w:w w:val="95"/>
          <w:sz w:val="21"/>
        </w:rPr>
        <w:t>的</w:t>
      </w:r>
      <w:r>
        <w:rPr>
          <w:b/>
          <w:w w:val="95"/>
          <w:sz w:val="21"/>
        </w:rPr>
        <w:t>甲</w:t>
      </w:r>
      <w:r>
        <w:rPr>
          <w:b/>
          <w:w w:val="95"/>
          <w:sz w:val="21"/>
        </w:rPr>
        <w:t>状</w:t>
      </w:r>
      <w:r>
        <w:rPr>
          <w:b/>
          <w:w w:val="95"/>
          <w:sz w:val="21"/>
        </w:rPr>
        <w:t>腺</w:t>
      </w:r>
      <w:r>
        <w:rPr>
          <w:b/>
          <w:w w:val="95"/>
          <w:sz w:val="21"/>
        </w:rPr>
        <w:t>癌</w:t>
      </w:r>
      <w:r>
        <w:rPr>
          <w:b/>
          <w:spacing w:val="-10"/>
          <w:w w:val="95"/>
          <w:sz w:val="21"/>
        </w:rPr>
        <w:t>；</w:t>
      </w:r>
    </w:p>
    <w:p>
      <w:pPr>
        <w:pStyle w:val="ListParagraph"/>
        <w:numPr>
          <w:ilvl w:val="0"/>
          <w:numId w:val="114"/>
        </w:numPr>
        <w:tabs>
          <w:tab w:pos="767" w:val="left" w:leader="none"/>
        </w:tabs>
        <w:spacing w:line="240" w:lineRule="auto" w:before="42" w:after="0"/>
        <w:ind w:left="767" w:right="0" w:hanging="529"/>
        <w:jc w:val="left"/>
        <w:rPr>
          <w:b/>
          <w:sz w:val="21"/>
        </w:rPr>
      </w:pPr>
      <w:r>
        <w:rPr>
          <w:b/>
          <w:w w:val="95"/>
          <w:position w:val="1"/>
          <w:sz w:val="21"/>
        </w:rPr>
        <w:t>TNM</w:t>
      </w:r>
      <w:r>
        <w:rPr>
          <w:b/>
          <w:spacing w:val="14"/>
          <w:position w:val="1"/>
          <w:sz w:val="21"/>
        </w:rPr>
        <w:t> </w:t>
      </w:r>
      <w:r>
        <w:rPr>
          <w:b/>
          <w:w w:val="95"/>
          <w:position w:val="1"/>
          <w:sz w:val="21"/>
        </w:rPr>
        <w:t>分</w:t>
      </w:r>
      <w:r>
        <w:rPr>
          <w:b/>
          <w:w w:val="95"/>
          <w:position w:val="1"/>
          <w:sz w:val="21"/>
        </w:rPr>
        <w:t>期</w:t>
      </w:r>
      <w:r>
        <w:rPr>
          <w:b/>
          <w:w w:val="95"/>
          <w:position w:val="1"/>
          <w:sz w:val="21"/>
        </w:rPr>
        <w:t>为</w:t>
      </w:r>
      <w:r>
        <w:rPr>
          <w:b/>
          <w:spacing w:val="14"/>
          <w:position w:val="1"/>
          <w:sz w:val="21"/>
        </w:rPr>
        <w:t> </w:t>
      </w:r>
      <w:r>
        <w:rPr>
          <w:b/>
          <w:w w:val="95"/>
          <w:position w:val="1"/>
          <w:sz w:val="21"/>
        </w:rPr>
        <w:t>T</w:t>
      </w:r>
      <w:r>
        <w:rPr>
          <w:b/>
          <w:w w:val="95"/>
          <w:sz w:val="11"/>
        </w:rPr>
        <w:t>1</w:t>
      </w:r>
      <w:r>
        <w:rPr>
          <w:b/>
          <w:w w:val="95"/>
          <w:position w:val="1"/>
          <w:sz w:val="21"/>
        </w:rPr>
        <w:t>N</w:t>
      </w:r>
      <w:r>
        <w:rPr>
          <w:b/>
          <w:w w:val="95"/>
          <w:sz w:val="11"/>
        </w:rPr>
        <w:t>0</w:t>
      </w:r>
      <w:r>
        <w:rPr>
          <w:b/>
          <w:w w:val="95"/>
          <w:position w:val="1"/>
          <w:sz w:val="21"/>
        </w:rPr>
        <w:t>M</w:t>
      </w:r>
      <w:r>
        <w:rPr>
          <w:b/>
          <w:w w:val="95"/>
          <w:sz w:val="11"/>
        </w:rPr>
        <w:t>0</w:t>
      </w:r>
      <w:r>
        <w:rPr>
          <w:b/>
          <w:spacing w:val="10"/>
          <w:sz w:val="11"/>
        </w:rPr>
        <w:t> </w:t>
      </w:r>
      <w:r>
        <w:rPr>
          <w:b/>
          <w:w w:val="95"/>
          <w:position w:val="1"/>
          <w:sz w:val="21"/>
        </w:rPr>
        <w:t>期</w:t>
      </w:r>
      <w:r>
        <w:rPr>
          <w:b/>
          <w:w w:val="95"/>
          <w:position w:val="1"/>
          <w:sz w:val="21"/>
        </w:rPr>
        <w:t>或</w:t>
      </w:r>
      <w:r>
        <w:rPr>
          <w:b/>
          <w:w w:val="95"/>
          <w:position w:val="1"/>
          <w:sz w:val="21"/>
        </w:rPr>
        <w:t>更</w:t>
      </w:r>
      <w:r>
        <w:rPr>
          <w:b/>
          <w:w w:val="95"/>
          <w:position w:val="1"/>
          <w:sz w:val="21"/>
        </w:rPr>
        <w:t>轻</w:t>
      </w:r>
      <w:r>
        <w:rPr>
          <w:b/>
          <w:w w:val="95"/>
          <w:position w:val="1"/>
          <w:sz w:val="21"/>
        </w:rPr>
        <w:t>分</w:t>
      </w:r>
      <w:r>
        <w:rPr>
          <w:b/>
          <w:w w:val="95"/>
          <w:position w:val="1"/>
          <w:sz w:val="21"/>
        </w:rPr>
        <w:t>期</w:t>
      </w:r>
      <w:r>
        <w:rPr>
          <w:b/>
          <w:w w:val="95"/>
          <w:position w:val="1"/>
          <w:sz w:val="21"/>
        </w:rPr>
        <w:t>的</w:t>
      </w:r>
      <w:r>
        <w:rPr>
          <w:b/>
          <w:w w:val="95"/>
          <w:position w:val="1"/>
          <w:sz w:val="21"/>
        </w:rPr>
        <w:t>前</w:t>
      </w:r>
      <w:r>
        <w:rPr>
          <w:b/>
          <w:w w:val="95"/>
          <w:position w:val="1"/>
          <w:sz w:val="21"/>
        </w:rPr>
        <w:t>列</w:t>
      </w:r>
      <w:r>
        <w:rPr>
          <w:b/>
          <w:w w:val="95"/>
          <w:position w:val="1"/>
          <w:sz w:val="21"/>
        </w:rPr>
        <w:t>腺</w:t>
      </w:r>
      <w:r>
        <w:rPr>
          <w:b/>
          <w:w w:val="95"/>
          <w:position w:val="1"/>
          <w:sz w:val="21"/>
        </w:rPr>
        <w:t>癌</w:t>
      </w:r>
      <w:r>
        <w:rPr>
          <w:b/>
          <w:spacing w:val="-10"/>
          <w:w w:val="95"/>
          <w:position w:val="1"/>
          <w:sz w:val="21"/>
        </w:rPr>
        <w:t>；</w:t>
      </w:r>
    </w:p>
    <w:p>
      <w:pPr>
        <w:pStyle w:val="ListParagraph"/>
        <w:numPr>
          <w:ilvl w:val="0"/>
          <w:numId w:val="114"/>
        </w:numPr>
        <w:tabs>
          <w:tab w:pos="767" w:val="left" w:leader="none"/>
        </w:tabs>
        <w:spacing w:line="240" w:lineRule="auto" w:before="44" w:after="0"/>
        <w:ind w:left="767" w:right="0" w:hanging="529"/>
        <w:jc w:val="left"/>
        <w:rPr>
          <w:b/>
          <w:sz w:val="21"/>
        </w:rPr>
      </w:pPr>
      <w:r>
        <w:rPr>
          <w:b/>
          <w:spacing w:val="-3"/>
          <w:sz w:val="21"/>
        </w:rPr>
        <w:t>黑色素瘤以外的未发生淋巴结和远处转移的皮肤恶性肿瘤；</w:t>
      </w:r>
    </w:p>
    <w:p>
      <w:pPr>
        <w:pStyle w:val="ListParagraph"/>
        <w:numPr>
          <w:ilvl w:val="0"/>
          <w:numId w:val="114"/>
        </w:numPr>
        <w:tabs>
          <w:tab w:pos="767" w:val="left" w:leader="none"/>
        </w:tabs>
        <w:spacing w:line="240" w:lineRule="auto" w:before="42" w:after="0"/>
        <w:ind w:left="767" w:right="0" w:hanging="529"/>
        <w:jc w:val="left"/>
        <w:rPr>
          <w:b/>
          <w:sz w:val="21"/>
        </w:rPr>
      </w:pPr>
      <w:r>
        <w:rPr>
          <w:b/>
          <w:w w:val="95"/>
          <w:sz w:val="21"/>
        </w:rPr>
        <w:t>相</w:t>
      </w:r>
      <w:r>
        <w:rPr>
          <w:b/>
          <w:w w:val="95"/>
          <w:sz w:val="21"/>
        </w:rPr>
        <w:t>当</w:t>
      </w:r>
      <w:r>
        <w:rPr>
          <w:b/>
          <w:w w:val="95"/>
          <w:sz w:val="21"/>
        </w:rPr>
        <w:t>于</w:t>
      </w:r>
      <w:r>
        <w:rPr>
          <w:b/>
          <w:spacing w:val="3"/>
          <w:sz w:val="21"/>
        </w:rPr>
        <w:t> </w:t>
      </w:r>
      <w:r>
        <w:rPr>
          <w:b/>
          <w:w w:val="95"/>
          <w:sz w:val="21"/>
        </w:rPr>
        <w:t>Binet</w:t>
      </w:r>
      <w:r>
        <w:rPr>
          <w:b/>
          <w:spacing w:val="3"/>
          <w:sz w:val="21"/>
        </w:rPr>
        <w:t> </w:t>
      </w:r>
      <w:r>
        <w:rPr>
          <w:b/>
          <w:w w:val="95"/>
          <w:sz w:val="21"/>
        </w:rPr>
        <w:t>分</w:t>
      </w:r>
      <w:r>
        <w:rPr>
          <w:b/>
          <w:w w:val="95"/>
          <w:sz w:val="21"/>
        </w:rPr>
        <w:t>期</w:t>
      </w:r>
      <w:r>
        <w:rPr>
          <w:b/>
          <w:w w:val="95"/>
          <w:sz w:val="21"/>
        </w:rPr>
        <w:t>方案</w:t>
      </w:r>
      <w:r>
        <w:rPr>
          <w:b/>
          <w:spacing w:val="5"/>
          <w:sz w:val="21"/>
        </w:rPr>
        <w:t> </w:t>
      </w:r>
      <w:r>
        <w:rPr>
          <w:b/>
          <w:w w:val="95"/>
          <w:sz w:val="21"/>
        </w:rPr>
        <w:t>A</w:t>
      </w:r>
      <w:r>
        <w:rPr>
          <w:b/>
          <w:spacing w:val="4"/>
          <w:sz w:val="21"/>
        </w:rPr>
        <w:t> </w:t>
      </w:r>
      <w:r>
        <w:rPr>
          <w:b/>
          <w:w w:val="95"/>
          <w:sz w:val="21"/>
        </w:rPr>
        <w:t>期</w:t>
      </w:r>
      <w:r>
        <w:rPr>
          <w:b/>
          <w:w w:val="95"/>
          <w:sz w:val="21"/>
        </w:rPr>
        <w:t>程</w:t>
      </w:r>
      <w:r>
        <w:rPr>
          <w:b/>
          <w:w w:val="95"/>
          <w:sz w:val="21"/>
        </w:rPr>
        <w:t>度</w:t>
      </w:r>
      <w:r>
        <w:rPr>
          <w:b/>
          <w:w w:val="95"/>
          <w:sz w:val="21"/>
        </w:rPr>
        <w:t>的</w:t>
      </w:r>
      <w:r>
        <w:rPr>
          <w:b/>
          <w:w w:val="95"/>
          <w:sz w:val="21"/>
        </w:rPr>
        <w:t>慢</w:t>
      </w:r>
      <w:r>
        <w:rPr>
          <w:b/>
          <w:w w:val="95"/>
          <w:sz w:val="21"/>
        </w:rPr>
        <w:t>性</w:t>
      </w:r>
      <w:r>
        <w:rPr>
          <w:b/>
          <w:w w:val="95"/>
          <w:sz w:val="21"/>
        </w:rPr>
        <w:t>淋</w:t>
      </w:r>
      <w:r>
        <w:rPr>
          <w:b/>
          <w:w w:val="95"/>
          <w:sz w:val="21"/>
        </w:rPr>
        <w:t>巴</w:t>
      </w:r>
      <w:r>
        <w:rPr>
          <w:b/>
          <w:w w:val="95"/>
          <w:sz w:val="21"/>
        </w:rPr>
        <w:t>细</w:t>
      </w:r>
      <w:r>
        <w:rPr>
          <w:b/>
          <w:w w:val="95"/>
          <w:sz w:val="21"/>
        </w:rPr>
        <w:t>胞</w:t>
      </w:r>
      <w:r>
        <w:rPr>
          <w:b/>
          <w:w w:val="95"/>
          <w:sz w:val="21"/>
        </w:rPr>
        <w:t>白</w:t>
      </w:r>
      <w:r>
        <w:rPr>
          <w:b/>
          <w:w w:val="95"/>
          <w:sz w:val="21"/>
        </w:rPr>
        <w:t>血</w:t>
      </w:r>
      <w:r>
        <w:rPr>
          <w:b/>
          <w:w w:val="95"/>
          <w:sz w:val="21"/>
        </w:rPr>
        <w:t>病</w:t>
      </w:r>
      <w:r>
        <w:rPr>
          <w:b/>
          <w:spacing w:val="-10"/>
          <w:w w:val="95"/>
          <w:sz w:val="21"/>
        </w:rPr>
        <w:t>；</w:t>
      </w:r>
    </w:p>
    <w:p>
      <w:pPr>
        <w:pStyle w:val="ListParagraph"/>
        <w:numPr>
          <w:ilvl w:val="0"/>
          <w:numId w:val="114"/>
        </w:numPr>
        <w:tabs>
          <w:tab w:pos="767" w:val="left" w:leader="none"/>
        </w:tabs>
        <w:spacing w:line="240" w:lineRule="auto" w:before="43" w:after="0"/>
        <w:ind w:left="767" w:right="0" w:hanging="529"/>
        <w:jc w:val="left"/>
        <w:rPr>
          <w:b/>
          <w:sz w:val="21"/>
        </w:rPr>
      </w:pPr>
      <w:r>
        <w:rPr>
          <w:b/>
          <w:spacing w:val="-14"/>
          <w:sz w:val="21"/>
        </w:rPr>
        <w:t>相当于 </w:t>
      </w:r>
      <w:r>
        <w:rPr>
          <w:b/>
          <w:sz w:val="21"/>
        </w:rPr>
        <w:t>Ann</w:t>
      </w:r>
      <w:r>
        <w:rPr>
          <w:b/>
          <w:spacing w:val="-16"/>
          <w:sz w:val="21"/>
        </w:rPr>
        <w:t> </w:t>
      </w:r>
      <w:r>
        <w:rPr>
          <w:b/>
          <w:sz w:val="21"/>
        </w:rPr>
        <w:t>Arbor</w:t>
      </w:r>
      <w:r>
        <w:rPr>
          <w:b/>
          <w:spacing w:val="-9"/>
          <w:sz w:val="21"/>
        </w:rPr>
        <w:t> 分期方案Ⅰ期程度的何杰金氏病；</w:t>
      </w:r>
    </w:p>
    <w:p>
      <w:pPr>
        <w:pStyle w:val="ListParagraph"/>
        <w:numPr>
          <w:ilvl w:val="0"/>
          <w:numId w:val="114"/>
        </w:numPr>
        <w:tabs>
          <w:tab w:pos="767" w:val="left" w:leader="none"/>
        </w:tabs>
        <w:spacing w:line="278" w:lineRule="auto" w:before="43" w:after="0"/>
        <w:ind w:left="238" w:right="1445" w:firstLine="0"/>
        <w:jc w:val="left"/>
        <w:rPr>
          <w:b/>
          <w:sz w:val="21"/>
        </w:rPr>
      </w:pPr>
      <w:r>
        <w:rPr>
          <w:b/>
          <w:spacing w:val="-5"/>
          <w:sz w:val="21"/>
        </w:rPr>
        <w:t>未发生淋巴结和远处转移且 </w:t>
      </w:r>
      <w:r>
        <w:rPr>
          <w:b/>
          <w:sz w:val="21"/>
        </w:rPr>
        <w:t>WHO</w:t>
      </w:r>
      <w:r>
        <w:rPr>
          <w:b/>
          <w:spacing w:val="-22"/>
          <w:sz w:val="21"/>
        </w:rPr>
        <w:t> 分级为 </w:t>
      </w:r>
      <w:r>
        <w:rPr>
          <w:b/>
          <w:sz w:val="21"/>
        </w:rPr>
        <w:t>G1</w:t>
      </w:r>
      <w:r>
        <w:rPr>
          <w:b/>
          <w:spacing w:val="-18"/>
          <w:sz w:val="21"/>
        </w:rPr>
        <w:t> 级别</w:t>
      </w:r>
      <w:r>
        <w:rPr>
          <w:b/>
          <w:sz w:val="21"/>
        </w:rPr>
        <w:t>（核分裂像&lt;10/50</w:t>
      </w:r>
      <w:r>
        <w:rPr>
          <w:b/>
          <w:spacing w:val="-27"/>
          <w:sz w:val="21"/>
        </w:rPr>
        <w:t> </w:t>
      </w:r>
      <w:r>
        <w:rPr>
          <w:b/>
          <w:sz w:val="21"/>
        </w:rPr>
        <w:t>HPF</w:t>
      </w:r>
      <w:r>
        <w:rPr>
          <w:b/>
          <w:spacing w:val="-36"/>
          <w:sz w:val="21"/>
        </w:rPr>
        <w:t> 和 </w:t>
      </w:r>
      <w:r>
        <w:rPr>
          <w:b/>
          <w:sz w:val="21"/>
        </w:rPr>
        <w:t>ki-67≤2%）</w:t>
      </w:r>
      <w:r>
        <w:rPr>
          <w:b/>
          <w:spacing w:val="-2"/>
          <w:sz w:val="21"/>
        </w:rPr>
        <w:t>或更轻分级的神经内分泌肿瘤。</w:t>
      </w:r>
    </w:p>
    <w:p>
      <w:pPr>
        <w:spacing w:before="1"/>
        <w:ind w:left="238" w:right="0" w:firstLine="0"/>
        <w:jc w:val="left"/>
        <w:rPr>
          <w:b/>
          <w:sz w:val="21"/>
        </w:rPr>
      </w:pPr>
      <w:r>
        <w:rPr>
          <w:b/>
          <w:spacing w:val="-2"/>
          <w:sz w:val="21"/>
        </w:rPr>
        <w:t>二十二、肾母细胞瘤</w:t>
      </w:r>
    </w:p>
    <w:p>
      <w:pPr>
        <w:pStyle w:val="BodyText"/>
        <w:spacing w:line="278" w:lineRule="auto" w:before="42"/>
        <w:ind w:right="1443"/>
      </w:pPr>
      <w:r>
        <w:rPr>
          <w:spacing w:val="-12"/>
        </w:rPr>
        <w:t>指原发于肾母细胞的恶性肿瘤，恶性肿瘤释义参考附表一重大疾病中的“恶性肿瘤——重度”</w:t>
      </w:r>
      <w:r>
        <w:rPr>
          <w:spacing w:val="-4"/>
        </w:rPr>
        <w:t>释义。</w:t>
      </w:r>
    </w:p>
    <w:p>
      <w:pPr>
        <w:spacing w:line="269" w:lineRule="exact" w:before="0"/>
        <w:ind w:left="238" w:right="0" w:firstLine="0"/>
        <w:jc w:val="left"/>
        <w:rPr>
          <w:b/>
          <w:sz w:val="21"/>
        </w:rPr>
      </w:pPr>
      <w:r>
        <w:rPr>
          <w:b/>
          <w:spacing w:val="-3"/>
          <w:sz w:val="21"/>
        </w:rPr>
        <w:t>下列疾病不在保障范围内：</w:t>
      </w:r>
    </w:p>
    <w:p>
      <w:pPr>
        <w:pStyle w:val="ListParagraph"/>
        <w:numPr>
          <w:ilvl w:val="0"/>
          <w:numId w:val="116"/>
        </w:numPr>
        <w:tabs>
          <w:tab w:pos="767" w:val="left" w:leader="none"/>
        </w:tabs>
        <w:spacing w:line="278" w:lineRule="auto" w:before="43" w:after="0"/>
        <w:ind w:left="238" w:right="1551" w:firstLine="0"/>
        <w:jc w:val="left"/>
        <w:rPr>
          <w:b/>
          <w:sz w:val="21"/>
        </w:rPr>
      </w:pPr>
      <w:r>
        <w:rPr>
          <w:b/>
          <w:sz w:val="21"/>
        </w:rPr>
        <w:t>ICD-O-3</w:t>
      </w:r>
      <w:r>
        <w:rPr>
          <w:b/>
          <w:spacing w:val="-8"/>
          <w:sz w:val="21"/>
        </w:rPr>
        <w:t> 肿瘤形态学编码属于 </w:t>
      </w:r>
      <w:r>
        <w:rPr>
          <w:b/>
          <w:sz w:val="21"/>
        </w:rPr>
        <w:t>0（良性肿瘤</w:t>
      </w:r>
      <w:r>
        <w:rPr>
          <w:b/>
          <w:spacing w:val="-106"/>
          <w:sz w:val="21"/>
        </w:rPr>
        <w:t>）</w:t>
      </w:r>
      <w:r>
        <w:rPr>
          <w:b/>
          <w:sz w:val="21"/>
        </w:rPr>
        <w:t>、1（动态未定性肿瘤</w:t>
      </w:r>
      <w:r>
        <w:rPr>
          <w:b/>
          <w:spacing w:val="-106"/>
          <w:sz w:val="21"/>
        </w:rPr>
        <w:t>）</w:t>
      </w:r>
      <w:r>
        <w:rPr>
          <w:b/>
          <w:sz w:val="21"/>
        </w:rPr>
        <w:t>、2（原位癌和非</w:t>
      </w:r>
      <w:r>
        <w:rPr>
          <w:b/>
          <w:spacing w:val="-2"/>
          <w:sz w:val="21"/>
        </w:rPr>
        <w:t>侵袭性癌）范畴的疾病，如：</w:t>
      </w:r>
    </w:p>
    <w:p>
      <w:pPr>
        <w:pStyle w:val="ListParagraph"/>
        <w:numPr>
          <w:ilvl w:val="0"/>
          <w:numId w:val="117"/>
        </w:numPr>
        <w:tabs>
          <w:tab w:pos="452" w:val="left" w:leader="none"/>
        </w:tabs>
        <w:spacing w:line="278" w:lineRule="auto" w:before="0" w:after="0"/>
        <w:ind w:left="238" w:right="1549" w:firstLine="0"/>
        <w:jc w:val="left"/>
        <w:rPr>
          <w:b/>
          <w:sz w:val="21"/>
        </w:rPr>
      </w:pPr>
      <w:r>
        <w:rPr>
          <w:b/>
          <w:spacing w:val="-2"/>
          <w:sz w:val="21"/>
        </w:rPr>
        <w:t>原位癌，癌前病变，非浸润性癌，非侵袭性癌，肿瘤细胞未侵犯基底层，上皮内瘤变，</w:t>
      </w:r>
      <w:r>
        <w:rPr>
          <w:b/>
          <w:spacing w:val="-2"/>
          <w:sz w:val="21"/>
        </w:rPr>
        <w:t>细胞不典型性增生等；</w:t>
      </w:r>
    </w:p>
    <w:p>
      <w:pPr>
        <w:pStyle w:val="ListParagraph"/>
        <w:numPr>
          <w:ilvl w:val="0"/>
          <w:numId w:val="117"/>
        </w:numPr>
        <w:tabs>
          <w:tab w:pos="451" w:val="left" w:leader="none"/>
        </w:tabs>
        <w:spacing w:line="269" w:lineRule="exact" w:before="0" w:after="0"/>
        <w:ind w:left="450" w:right="0" w:hanging="213"/>
        <w:jc w:val="left"/>
        <w:rPr>
          <w:b/>
          <w:sz w:val="21"/>
        </w:rPr>
      </w:pPr>
      <w:r>
        <w:rPr>
          <w:b/>
          <w:spacing w:val="-3"/>
          <w:sz w:val="21"/>
        </w:rPr>
        <w:t>交界性肿瘤，交界恶性肿瘤，肿瘤低度恶性潜能，潜在低度恶性肿瘤等；</w:t>
      </w:r>
    </w:p>
    <w:p>
      <w:pPr>
        <w:pStyle w:val="ListParagraph"/>
        <w:numPr>
          <w:ilvl w:val="0"/>
          <w:numId w:val="116"/>
        </w:numPr>
        <w:tabs>
          <w:tab w:pos="767" w:val="left" w:leader="none"/>
        </w:tabs>
        <w:spacing w:line="240" w:lineRule="auto" w:before="43" w:after="0"/>
        <w:ind w:left="767" w:right="0" w:hanging="529"/>
        <w:jc w:val="left"/>
        <w:rPr>
          <w:b/>
          <w:sz w:val="21"/>
        </w:rPr>
      </w:pPr>
      <w:r>
        <w:rPr>
          <w:b/>
          <w:w w:val="95"/>
          <w:sz w:val="21"/>
        </w:rPr>
        <w:t>TNM</w:t>
      </w:r>
      <w:r>
        <w:rPr>
          <w:b/>
          <w:spacing w:val="60"/>
          <w:w w:val="150"/>
          <w:sz w:val="21"/>
        </w:rPr>
        <w:t> </w:t>
      </w:r>
      <w:r>
        <w:rPr>
          <w:b/>
          <w:w w:val="95"/>
          <w:sz w:val="21"/>
        </w:rPr>
        <w:t>分</w:t>
      </w:r>
      <w:r>
        <w:rPr>
          <w:b/>
          <w:w w:val="95"/>
          <w:sz w:val="21"/>
        </w:rPr>
        <w:t>期</w:t>
      </w:r>
      <w:r>
        <w:rPr>
          <w:b/>
          <w:w w:val="95"/>
          <w:sz w:val="21"/>
        </w:rPr>
        <w:t>为</w:t>
      </w:r>
      <w:r>
        <w:rPr>
          <w:b/>
          <w:w w:val="95"/>
          <w:sz w:val="21"/>
        </w:rPr>
        <w:t>Ⅰ</w:t>
      </w:r>
      <w:r>
        <w:rPr>
          <w:b/>
          <w:w w:val="95"/>
          <w:sz w:val="21"/>
        </w:rPr>
        <w:t>期</w:t>
      </w:r>
      <w:r>
        <w:rPr>
          <w:b/>
          <w:w w:val="95"/>
          <w:sz w:val="21"/>
        </w:rPr>
        <w:t>或</w:t>
      </w:r>
      <w:r>
        <w:rPr>
          <w:b/>
          <w:w w:val="95"/>
          <w:sz w:val="21"/>
        </w:rPr>
        <w:t>更</w:t>
      </w:r>
      <w:r>
        <w:rPr>
          <w:b/>
          <w:w w:val="95"/>
          <w:sz w:val="21"/>
        </w:rPr>
        <w:t>轻</w:t>
      </w:r>
      <w:r>
        <w:rPr>
          <w:b/>
          <w:w w:val="95"/>
          <w:sz w:val="21"/>
        </w:rPr>
        <w:t>分</w:t>
      </w:r>
      <w:r>
        <w:rPr>
          <w:b/>
          <w:w w:val="95"/>
          <w:sz w:val="21"/>
        </w:rPr>
        <w:t>期</w:t>
      </w:r>
      <w:r>
        <w:rPr>
          <w:b/>
          <w:w w:val="95"/>
          <w:sz w:val="21"/>
        </w:rPr>
        <w:t>的</w:t>
      </w:r>
      <w:r>
        <w:rPr>
          <w:b/>
          <w:w w:val="95"/>
          <w:sz w:val="21"/>
        </w:rPr>
        <w:t>甲</w:t>
      </w:r>
      <w:r>
        <w:rPr>
          <w:b/>
          <w:w w:val="95"/>
          <w:sz w:val="21"/>
        </w:rPr>
        <w:t>状</w:t>
      </w:r>
      <w:r>
        <w:rPr>
          <w:b/>
          <w:w w:val="95"/>
          <w:sz w:val="21"/>
        </w:rPr>
        <w:t>腺</w:t>
      </w:r>
      <w:r>
        <w:rPr>
          <w:b/>
          <w:w w:val="95"/>
          <w:sz w:val="21"/>
        </w:rPr>
        <w:t>癌</w:t>
      </w:r>
      <w:r>
        <w:rPr>
          <w:b/>
          <w:spacing w:val="-10"/>
          <w:w w:val="95"/>
          <w:sz w:val="21"/>
        </w:rPr>
        <w:t>；</w:t>
      </w:r>
    </w:p>
    <w:p>
      <w:pPr>
        <w:pStyle w:val="ListParagraph"/>
        <w:numPr>
          <w:ilvl w:val="0"/>
          <w:numId w:val="116"/>
        </w:numPr>
        <w:tabs>
          <w:tab w:pos="767" w:val="left" w:leader="none"/>
        </w:tabs>
        <w:spacing w:line="240" w:lineRule="auto" w:before="43" w:after="0"/>
        <w:ind w:left="767" w:right="0" w:hanging="529"/>
        <w:jc w:val="left"/>
        <w:rPr>
          <w:b/>
          <w:sz w:val="21"/>
        </w:rPr>
      </w:pPr>
      <w:r>
        <w:rPr>
          <w:b/>
          <w:w w:val="95"/>
          <w:position w:val="1"/>
          <w:sz w:val="21"/>
        </w:rPr>
        <w:t>TNM</w:t>
      </w:r>
      <w:r>
        <w:rPr>
          <w:b/>
          <w:spacing w:val="14"/>
          <w:position w:val="1"/>
          <w:sz w:val="21"/>
        </w:rPr>
        <w:t> </w:t>
      </w:r>
      <w:r>
        <w:rPr>
          <w:b/>
          <w:w w:val="95"/>
          <w:position w:val="1"/>
          <w:sz w:val="21"/>
        </w:rPr>
        <w:t>分</w:t>
      </w:r>
      <w:r>
        <w:rPr>
          <w:b/>
          <w:w w:val="95"/>
          <w:position w:val="1"/>
          <w:sz w:val="21"/>
        </w:rPr>
        <w:t>期</w:t>
      </w:r>
      <w:r>
        <w:rPr>
          <w:b/>
          <w:w w:val="95"/>
          <w:position w:val="1"/>
          <w:sz w:val="21"/>
        </w:rPr>
        <w:t>为</w:t>
      </w:r>
      <w:r>
        <w:rPr>
          <w:b/>
          <w:spacing w:val="14"/>
          <w:position w:val="1"/>
          <w:sz w:val="21"/>
        </w:rPr>
        <w:t> </w:t>
      </w:r>
      <w:r>
        <w:rPr>
          <w:b/>
          <w:w w:val="95"/>
          <w:position w:val="1"/>
          <w:sz w:val="21"/>
        </w:rPr>
        <w:t>T</w:t>
      </w:r>
      <w:r>
        <w:rPr>
          <w:b/>
          <w:w w:val="95"/>
          <w:sz w:val="11"/>
        </w:rPr>
        <w:t>1</w:t>
      </w:r>
      <w:r>
        <w:rPr>
          <w:b/>
          <w:w w:val="95"/>
          <w:position w:val="1"/>
          <w:sz w:val="21"/>
        </w:rPr>
        <w:t>N</w:t>
      </w:r>
      <w:r>
        <w:rPr>
          <w:b/>
          <w:w w:val="95"/>
          <w:sz w:val="11"/>
        </w:rPr>
        <w:t>0</w:t>
      </w:r>
      <w:r>
        <w:rPr>
          <w:b/>
          <w:w w:val="95"/>
          <w:position w:val="1"/>
          <w:sz w:val="21"/>
        </w:rPr>
        <w:t>M</w:t>
      </w:r>
      <w:r>
        <w:rPr>
          <w:b/>
          <w:w w:val="95"/>
          <w:sz w:val="11"/>
        </w:rPr>
        <w:t>0</w:t>
      </w:r>
      <w:r>
        <w:rPr>
          <w:b/>
          <w:spacing w:val="10"/>
          <w:sz w:val="11"/>
        </w:rPr>
        <w:t> </w:t>
      </w:r>
      <w:r>
        <w:rPr>
          <w:b/>
          <w:w w:val="95"/>
          <w:position w:val="1"/>
          <w:sz w:val="21"/>
        </w:rPr>
        <w:t>期</w:t>
      </w:r>
      <w:r>
        <w:rPr>
          <w:b/>
          <w:w w:val="95"/>
          <w:position w:val="1"/>
          <w:sz w:val="21"/>
        </w:rPr>
        <w:t>或</w:t>
      </w:r>
      <w:r>
        <w:rPr>
          <w:b/>
          <w:w w:val="95"/>
          <w:position w:val="1"/>
          <w:sz w:val="21"/>
        </w:rPr>
        <w:t>更</w:t>
      </w:r>
      <w:r>
        <w:rPr>
          <w:b/>
          <w:w w:val="95"/>
          <w:position w:val="1"/>
          <w:sz w:val="21"/>
        </w:rPr>
        <w:t>轻</w:t>
      </w:r>
      <w:r>
        <w:rPr>
          <w:b/>
          <w:w w:val="95"/>
          <w:position w:val="1"/>
          <w:sz w:val="21"/>
        </w:rPr>
        <w:t>分</w:t>
      </w:r>
      <w:r>
        <w:rPr>
          <w:b/>
          <w:w w:val="95"/>
          <w:position w:val="1"/>
          <w:sz w:val="21"/>
        </w:rPr>
        <w:t>期</w:t>
      </w:r>
      <w:r>
        <w:rPr>
          <w:b/>
          <w:w w:val="95"/>
          <w:position w:val="1"/>
          <w:sz w:val="21"/>
        </w:rPr>
        <w:t>的</w:t>
      </w:r>
      <w:r>
        <w:rPr>
          <w:b/>
          <w:w w:val="95"/>
          <w:position w:val="1"/>
          <w:sz w:val="21"/>
        </w:rPr>
        <w:t>前</w:t>
      </w:r>
      <w:r>
        <w:rPr>
          <w:b/>
          <w:w w:val="95"/>
          <w:position w:val="1"/>
          <w:sz w:val="21"/>
        </w:rPr>
        <w:t>列</w:t>
      </w:r>
      <w:r>
        <w:rPr>
          <w:b/>
          <w:w w:val="95"/>
          <w:position w:val="1"/>
          <w:sz w:val="21"/>
        </w:rPr>
        <w:t>腺</w:t>
      </w:r>
      <w:r>
        <w:rPr>
          <w:b/>
          <w:w w:val="95"/>
          <w:position w:val="1"/>
          <w:sz w:val="21"/>
        </w:rPr>
        <w:t>癌</w:t>
      </w:r>
      <w:r>
        <w:rPr>
          <w:b/>
          <w:spacing w:val="-10"/>
          <w:w w:val="95"/>
          <w:position w:val="1"/>
          <w:sz w:val="21"/>
        </w:rPr>
        <w:t>；</w:t>
      </w:r>
    </w:p>
    <w:p>
      <w:pPr>
        <w:pStyle w:val="ListParagraph"/>
        <w:numPr>
          <w:ilvl w:val="0"/>
          <w:numId w:val="116"/>
        </w:numPr>
        <w:tabs>
          <w:tab w:pos="767" w:val="left" w:leader="none"/>
        </w:tabs>
        <w:spacing w:line="240" w:lineRule="auto" w:before="44" w:after="0"/>
        <w:ind w:left="767" w:right="0" w:hanging="529"/>
        <w:jc w:val="left"/>
        <w:rPr>
          <w:b/>
          <w:sz w:val="21"/>
        </w:rPr>
      </w:pPr>
      <w:r>
        <w:rPr>
          <w:b/>
          <w:spacing w:val="-3"/>
          <w:sz w:val="21"/>
        </w:rPr>
        <w:t>黑色素瘤以外的未发生淋巴结和远处转移的皮肤恶性肿瘤；</w:t>
      </w:r>
    </w:p>
    <w:p>
      <w:pPr>
        <w:pStyle w:val="ListParagraph"/>
        <w:numPr>
          <w:ilvl w:val="0"/>
          <w:numId w:val="116"/>
        </w:numPr>
        <w:tabs>
          <w:tab w:pos="767" w:val="left" w:leader="none"/>
        </w:tabs>
        <w:spacing w:line="240" w:lineRule="auto" w:before="43" w:after="0"/>
        <w:ind w:left="767" w:right="0" w:hanging="529"/>
        <w:jc w:val="left"/>
        <w:rPr>
          <w:b/>
          <w:sz w:val="21"/>
        </w:rPr>
      </w:pPr>
      <w:r>
        <w:rPr>
          <w:b/>
          <w:w w:val="95"/>
          <w:sz w:val="21"/>
        </w:rPr>
        <w:t>相</w:t>
      </w:r>
      <w:r>
        <w:rPr>
          <w:b/>
          <w:w w:val="95"/>
          <w:sz w:val="21"/>
        </w:rPr>
        <w:t>当</w:t>
      </w:r>
      <w:r>
        <w:rPr>
          <w:b/>
          <w:w w:val="95"/>
          <w:sz w:val="21"/>
        </w:rPr>
        <w:t>于</w:t>
      </w:r>
      <w:r>
        <w:rPr>
          <w:b/>
          <w:spacing w:val="3"/>
          <w:sz w:val="21"/>
        </w:rPr>
        <w:t> </w:t>
      </w:r>
      <w:r>
        <w:rPr>
          <w:b/>
          <w:w w:val="95"/>
          <w:sz w:val="21"/>
        </w:rPr>
        <w:t>Binet</w:t>
      </w:r>
      <w:r>
        <w:rPr>
          <w:b/>
          <w:spacing w:val="3"/>
          <w:sz w:val="21"/>
        </w:rPr>
        <w:t> </w:t>
      </w:r>
      <w:r>
        <w:rPr>
          <w:b/>
          <w:w w:val="95"/>
          <w:sz w:val="21"/>
        </w:rPr>
        <w:t>分</w:t>
      </w:r>
      <w:r>
        <w:rPr>
          <w:b/>
          <w:w w:val="95"/>
          <w:sz w:val="21"/>
        </w:rPr>
        <w:t>期</w:t>
      </w:r>
      <w:r>
        <w:rPr>
          <w:b/>
          <w:w w:val="95"/>
          <w:sz w:val="21"/>
        </w:rPr>
        <w:t>方案</w:t>
      </w:r>
      <w:r>
        <w:rPr>
          <w:b/>
          <w:spacing w:val="5"/>
          <w:sz w:val="21"/>
        </w:rPr>
        <w:t> </w:t>
      </w:r>
      <w:r>
        <w:rPr>
          <w:b/>
          <w:w w:val="95"/>
          <w:sz w:val="21"/>
        </w:rPr>
        <w:t>A</w:t>
      </w:r>
      <w:r>
        <w:rPr>
          <w:b/>
          <w:spacing w:val="4"/>
          <w:sz w:val="21"/>
        </w:rPr>
        <w:t> </w:t>
      </w:r>
      <w:r>
        <w:rPr>
          <w:b/>
          <w:w w:val="95"/>
          <w:sz w:val="21"/>
        </w:rPr>
        <w:t>期</w:t>
      </w:r>
      <w:r>
        <w:rPr>
          <w:b/>
          <w:w w:val="95"/>
          <w:sz w:val="21"/>
        </w:rPr>
        <w:t>程</w:t>
      </w:r>
      <w:r>
        <w:rPr>
          <w:b/>
          <w:w w:val="95"/>
          <w:sz w:val="21"/>
        </w:rPr>
        <w:t>度</w:t>
      </w:r>
      <w:r>
        <w:rPr>
          <w:b/>
          <w:w w:val="95"/>
          <w:sz w:val="21"/>
        </w:rPr>
        <w:t>的</w:t>
      </w:r>
      <w:r>
        <w:rPr>
          <w:b/>
          <w:w w:val="95"/>
          <w:sz w:val="21"/>
        </w:rPr>
        <w:t>慢</w:t>
      </w:r>
      <w:r>
        <w:rPr>
          <w:b/>
          <w:w w:val="95"/>
          <w:sz w:val="21"/>
        </w:rPr>
        <w:t>性</w:t>
      </w:r>
      <w:r>
        <w:rPr>
          <w:b/>
          <w:w w:val="95"/>
          <w:sz w:val="21"/>
        </w:rPr>
        <w:t>淋</w:t>
      </w:r>
      <w:r>
        <w:rPr>
          <w:b/>
          <w:w w:val="95"/>
          <w:sz w:val="21"/>
        </w:rPr>
        <w:t>巴</w:t>
      </w:r>
      <w:r>
        <w:rPr>
          <w:b/>
          <w:w w:val="95"/>
          <w:sz w:val="21"/>
        </w:rPr>
        <w:t>细</w:t>
      </w:r>
      <w:r>
        <w:rPr>
          <w:b/>
          <w:w w:val="95"/>
          <w:sz w:val="21"/>
        </w:rPr>
        <w:t>胞</w:t>
      </w:r>
      <w:r>
        <w:rPr>
          <w:b/>
          <w:w w:val="95"/>
          <w:sz w:val="21"/>
        </w:rPr>
        <w:t>白</w:t>
      </w:r>
      <w:r>
        <w:rPr>
          <w:b/>
          <w:w w:val="95"/>
          <w:sz w:val="21"/>
        </w:rPr>
        <w:t>血</w:t>
      </w:r>
      <w:r>
        <w:rPr>
          <w:b/>
          <w:w w:val="95"/>
          <w:sz w:val="21"/>
        </w:rPr>
        <w:t>病</w:t>
      </w:r>
      <w:r>
        <w:rPr>
          <w:b/>
          <w:spacing w:val="-10"/>
          <w:w w:val="95"/>
          <w:sz w:val="21"/>
        </w:rPr>
        <w:t>；</w:t>
      </w:r>
    </w:p>
    <w:p>
      <w:pPr>
        <w:pStyle w:val="ListParagraph"/>
        <w:numPr>
          <w:ilvl w:val="0"/>
          <w:numId w:val="116"/>
        </w:numPr>
        <w:tabs>
          <w:tab w:pos="767" w:val="left" w:leader="none"/>
        </w:tabs>
        <w:spacing w:line="240" w:lineRule="auto" w:before="42" w:after="0"/>
        <w:ind w:left="767" w:right="0" w:hanging="529"/>
        <w:jc w:val="left"/>
        <w:rPr>
          <w:b/>
          <w:sz w:val="21"/>
        </w:rPr>
      </w:pPr>
      <w:r>
        <w:rPr>
          <w:b/>
          <w:spacing w:val="-14"/>
          <w:sz w:val="21"/>
        </w:rPr>
        <w:t>相当于 </w:t>
      </w:r>
      <w:r>
        <w:rPr>
          <w:b/>
          <w:sz w:val="21"/>
        </w:rPr>
        <w:t>Ann</w:t>
      </w:r>
      <w:r>
        <w:rPr>
          <w:b/>
          <w:spacing w:val="-16"/>
          <w:sz w:val="21"/>
        </w:rPr>
        <w:t> </w:t>
      </w:r>
      <w:r>
        <w:rPr>
          <w:b/>
          <w:sz w:val="21"/>
        </w:rPr>
        <w:t>Arbor</w:t>
      </w:r>
      <w:r>
        <w:rPr>
          <w:b/>
          <w:spacing w:val="-9"/>
          <w:sz w:val="21"/>
        </w:rPr>
        <w:t> 分期方案Ⅰ期程度的何杰金氏病；</w:t>
      </w:r>
    </w:p>
    <w:p>
      <w:pPr>
        <w:pStyle w:val="ListParagraph"/>
        <w:numPr>
          <w:ilvl w:val="0"/>
          <w:numId w:val="116"/>
        </w:numPr>
        <w:tabs>
          <w:tab w:pos="767" w:val="left" w:leader="none"/>
        </w:tabs>
        <w:spacing w:line="278" w:lineRule="auto" w:before="43" w:after="0"/>
        <w:ind w:left="238" w:right="1445" w:firstLine="0"/>
        <w:jc w:val="left"/>
        <w:rPr>
          <w:b/>
          <w:sz w:val="21"/>
        </w:rPr>
      </w:pPr>
      <w:r>
        <w:rPr>
          <w:b/>
          <w:spacing w:val="-5"/>
          <w:sz w:val="21"/>
        </w:rPr>
        <w:t>未发生淋巴结和远处转移且 </w:t>
      </w:r>
      <w:r>
        <w:rPr>
          <w:b/>
          <w:sz w:val="21"/>
        </w:rPr>
        <w:t>WHO</w:t>
      </w:r>
      <w:r>
        <w:rPr>
          <w:b/>
          <w:spacing w:val="-22"/>
          <w:sz w:val="21"/>
        </w:rPr>
        <w:t> 分级为 </w:t>
      </w:r>
      <w:r>
        <w:rPr>
          <w:b/>
          <w:sz w:val="21"/>
        </w:rPr>
        <w:t>G1</w:t>
      </w:r>
      <w:r>
        <w:rPr>
          <w:b/>
          <w:spacing w:val="-18"/>
          <w:sz w:val="21"/>
        </w:rPr>
        <w:t> 级别</w:t>
      </w:r>
      <w:r>
        <w:rPr>
          <w:b/>
          <w:sz w:val="21"/>
        </w:rPr>
        <w:t>（核分裂像&lt;10/50</w:t>
      </w:r>
      <w:r>
        <w:rPr>
          <w:b/>
          <w:spacing w:val="-27"/>
          <w:sz w:val="21"/>
        </w:rPr>
        <w:t> </w:t>
      </w:r>
      <w:r>
        <w:rPr>
          <w:b/>
          <w:sz w:val="21"/>
        </w:rPr>
        <w:t>HPF</w:t>
      </w:r>
      <w:r>
        <w:rPr>
          <w:b/>
          <w:spacing w:val="-36"/>
          <w:sz w:val="21"/>
        </w:rPr>
        <w:t> 和 </w:t>
      </w:r>
      <w:r>
        <w:rPr>
          <w:b/>
          <w:sz w:val="21"/>
        </w:rPr>
        <w:t>ki-67≤2%）</w:t>
      </w:r>
      <w:r>
        <w:rPr>
          <w:b/>
          <w:spacing w:val="-2"/>
          <w:sz w:val="21"/>
        </w:rPr>
        <w:t>或更轻分级的神经内分泌肿瘤。</w:t>
      </w:r>
    </w:p>
    <w:p>
      <w:pPr>
        <w:spacing w:line="269" w:lineRule="exact" w:before="0"/>
        <w:ind w:left="238" w:right="0" w:firstLine="0"/>
        <w:jc w:val="left"/>
        <w:rPr>
          <w:b/>
          <w:sz w:val="21"/>
        </w:rPr>
      </w:pPr>
      <w:r>
        <w:rPr>
          <w:b/>
          <w:spacing w:val="-3"/>
          <w:sz w:val="21"/>
        </w:rPr>
        <w:t>二十三、严重脑炎后遗症或严重脑膜炎后遗症</w:t>
      </w:r>
    </w:p>
    <w:p>
      <w:pPr>
        <w:pStyle w:val="BodyText"/>
        <w:spacing w:before="43"/>
      </w:pPr>
      <w:r>
        <w:rPr>
          <w:spacing w:val="-5"/>
        </w:rPr>
        <w:t>指因患脑炎或脑膜炎导致的神经系统永久性的功能障碍。神经系统永久性的功能障碍，指经</w:t>
      </w:r>
    </w:p>
    <w:p>
      <w:pPr>
        <w:spacing w:after="0"/>
        <w:sectPr>
          <w:pgSz w:w="11910" w:h="16840"/>
          <w:pgMar w:header="0" w:footer="1005" w:top="1400" w:bottom="1200" w:left="1560" w:right="240"/>
        </w:sectPr>
      </w:pPr>
    </w:p>
    <w:p>
      <w:pPr>
        <w:pStyle w:val="BodyText"/>
        <w:spacing w:before="44"/>
      </w:pPr>
      <w:r>
        <w:rPr>
          <w:spacing w:val="-7"/>
        </w:rPr>
        <w:t>相关专科医生确诊疾病 </w:t>
      </w:r>
      <w:r>
        <w:rPr>
          <w:spacing w:val="-2"/>
        </w:rPr>
        <w:t>180</w:t>
      </w:r>
      <w:r>
        <w:rPr>
          <w:spacing w:val="-10"/>
        </w:rPr>
        <w:t> 天后，仍遗留下列至少一种障碍：</w:t>
      </w:r>
    </w:p>
    <w:p>
      <w:pPr>
        <w:pStyle w:val="ListParagraph"/>
        <w:numPr>
          <w:ilvl w:val="0"/>
          <w:numId w:val="118"/>
        </w:numPr>
        <w:tabs>
          <w:tab w:pos="767" w:val="left" w:leader="none"/>
        </w:tabs>
        <w:spacing w:line="240" w:lineRule="auto" w:before="43" w:after="0"/>
        <w:ind w:left="767" w:right="0" w:hanging="529"/>
        <w:jc w:val="left"/>
        <w:rPr>
          <w:sz w:val="21"/>
        </w:rPr>
      </w:pPr>
      <w:r>
        <w:rPr>
          <w:spacing w:val="-2"/>
          <w:sz w:val="21"/>
        </w:rPr>
        <w:t>一肢（含）</w:t>
      </w:r>
      <w:r>
        <w:rPr>
          <w:spacing w:val="-9"/>
          <w:sz w:val="21"/>
        </w:rPr>
        <w:t>以上肢体肌力 </w:t>
      </w:r>
      <w:r>
        <w:rPr>
          <w:spacing w:val="-2"/>
          <w:sz w:val="21"/>
        </w:rPr>
        <w:t>2</w:t>
      </w:r>
      <w:r>
        <w:rPr>
          <w:spacing w:val="-26"/>
          <w:sz w:val="21"/>
        </w:rPr>
        <w:t> 级</w:t>
      </w:r>
      <w:r>
        <w:rPr>
          <w:spacing w:val="-2"/>
          <w:sz w:val="21"/>
        </w:rPr>
        <w:t>（含）</w:t>
      </w:r>
      <w:r>
        <w:rPr>
          <w:spacing w:val="-5"/>
          <w:sz w:val="21"/>
        </w:rPr>
        <w:t>以下；</w:t>
      </w:r>
    </w:p>
    <w:p>
      <w:pPr>
        <w:pStyle w:val="ListParagraph"/>
        <w:numPr>
          <w:ilvl w:val="0"/>
          <w:numId w:val="118"/>
        </w:numPr>
        <w:tabs>
          <w:tab w:pos="767" w:val="left" w:leader="none"/>
        </w:tabs>
        <w:spacing w:line="240" w:lineRule="auto" w:before="43" w:after="0"/>
        <w:ind w:left="767" w:right="0" w:hanging="529"/>
        <w:jc w:val="left"/>
        <w:rPr>
          <w:sz w:val="21"/>
        </w:rPr>
      </w:pPr>
      <w:r>
        <w:rPr>
          <w:spacing w:val="-3"/>
          <w:sz w:val="21"/>
        </w:rPr>
        <w:t>语言能力完全丧失，或严重咀嚼吞咽功能障碍；</w:t>
      </w:r>
    </w:p>
    <w:p>
      <w:pPr>
        <w:pStyle w:val="ListParagraph"/>
        <w:numPr>
          <w:ilvl w:val="0"/>
          <w:numId w:val="118"/>
        </w:numPr>
        <w:tabs>
          <w:tab w:pos="767" w:val="left" w:leader="none"/>
        </w:tabs>
        <w:spacing w:line="278" w:lineRule="auto" w:before="43" w:after="0"/>
        <w:ind w:left="238" w:right="1443" w:firstLine="0"/>
        <w:jc w:val="left"/>
        <w:rPr>
          <w:sz w:val="21"/>
        </w:rPr>
      </w:pPr>
      <w:r>
        <w:rPr>
          <w:sz w:val="21"/>
        </w:rPr>
        <w:t>由具有评估资格的专科医生根据临床痴呆评定量表（CDR，Clinical</w:t>
      </w:r>
      <w:r>
        <w:rPr>
          <w:spacing w:val="-42"/>
          <w:sz w:val="21"/>
        </w:rPr>
        <w:t> </w:t>
      </w:r>
      <w:r>
        <w:rPr>
          <w:sz w:val="21"/>
        </w:rPr>
        <w:t>Dementia Rating）</w:t>
      </w:r>
      <w:r>
        <w:rPr>
          <w:spacing w:val="-4"/>
          <w:sz w:val="21"/>
        </w:rPr>
        <w:t>评估结果为 </w:t>
      </w:r>
      <w:r>
        <w:rPr>
          <w:sz w:val="21"/>
        </w:rPr>
        <w:t>3</w:t>
      </w:r>
      <w:r>
        <w:rPr>
          <w:spacing w:val="-8"/>
          <w:sz w:val="21"/>
        </w:rPr>
        <w:t> 分；</w:t>
      </w:r>
    </w:p>
    <w:p>
      <w:pPr>
        <w:pStyle w:val="ListParagraph"/>
        <w:numPr>
          <w:ilvl w:val="0"/>
          <w:numId w:val="118"/>
        </w:numPr>
        <w:tabs>
          <w:tab w:pos="767" w:val="left" w:leader="none"/>
        </w:tabs>
        <w:spacing w:line="278" w:lineRule="auto" w:before="0" w:after="0"/>
        <w:ind w:left="238" w:right="1565" w:firstLine="0"/>
        <w:jc w:val="left"/>
        <w:rPr>
          <w:b/>
          <w:sz w:val="21"/>
        </w:rPr>
      </w:pPr>
      <w:r>
        <w:rPr>
          <w:spacing w:val="-2"/>
          <w:sz w:val="21"/>
        </w:rPr>
        <w:t>自主生活能力完全丧失，无法独立完成六项基本日常生活活动中的三项或三项以上。</w:t>
      </w:r>
      <w:r>
        <w:rPr>
          <w:b/>
          <w:spacing w:val="-2"/>
          <w:sz w:val="21"/>
        </w:rPr>
        <w:t>二十四、严重Ⅲ度烧伤</w:t>
      </w:r>
    </w:p>
    <w:p>
      <w:pPr>
        <w:pStyle w:val="BodyText"/>
        <w:spacing w:line="278" w:lineRule="auto"/>
        <w:ind w:right="1549"/>
      </w:pPr>
      <w:r>
        <w:rPr>
          <w:spacing w:val="-2"/>
        </w:rPr>
        <w:t>指烧伤程度为Ⅲ度，且Ⅲ度烧伤的面积达到全身体表面积的 </w:t>
      </w:r>
      <w:r>
        <w:rPr/>
        <w:t>20</w:t>
      </w:r>
      <w:r>
        <w:rPr>
          <w:spacing w:val="-15"/>
        </w:rPr>
        <w:t>％或 </w:t>
      </w:r>
      <w:r>
        <w:rPr/>
        <w:t>20％以上。体表面积根</w:t>
      </w:r>
      <w:r>
        <w:rPr>
          <w:spacing w:val="-2"/>
        </w:rPr>
        <w:t>据《中国新九分法》计算。</w:t>
      </w:r>
    </w:p>
    <w:p>
      <w:pPr>
        <w:pStyle w:val="Heading5"/>
        <w:spacing w:line="269" w:lineRule="exact"/>
      </w:pPr>
      <w:r>
        <w:rPr>
          <w:spacing w:val="-3"/>
        </w:rPr>
        <w:t>二十五、严重运动神经元病</w:t>
      </w:r>
    </w:p>
    <w:p>
      <w:pPr>
        <w:pStyle w:val="BodyText"/>
        <w:spacing w:line="278" w:lineRule="auto" w:before="43"/>
        <w:ind w:right="1549"/>
        <w:jc w:val="both"/>
      </w:pPr>
      <w:r>
        <w:rPr>
          <w:spacing w:val="-4"/>
        </w:rPr>
        <w:t>是一组中枢神经系统运动神经元的进行性变性疾病，包括进行性脊肌萎缩症、进行性延髓麻</w:t>
      </w:r>
      <w:r>
        <w:rPr>
          <w:spacing w:val="-2"/>
        </w:rPr>
        <w:t>痹症、原发性侧索硬化症、肌萎缩性侧索硬化症,经相关专科医生确诊，且须满足下列至少</w:t>
      </w:r>
      <w:r>
        <w:rPr>
          <w:spacing w:val="-2"/>
        </w:rPr>
        <w:t>一项条件：</w:t>
      </w:r>
    </w:p>
    <w:p>
      <w:pPr>
        <w:pStyle w:val="ListParagraph"/>
        <w:numPr>
          <w:ilvl w:val="0"/>
          <w:numId w:val="119"/>
        </w:numPr>
        <w:tabs>
          <w:tab w:pos="767" w:val="left" w:leader="none"/>
        </w:tabs>
        <w:spacing w:line="240" w:lineRule="auto" w:before="0" w:after="0"/>
        <w:ind w:left="767" w:right="0" w:hanging="529"/>
        <w:jc w:val="left"/>
        <w:rPr>
          <w:sz w:val="21"/>
        </w:rPr>
      </w:pPr>
      <w:r>
        <w:rPr>
          <w:spacing w:val="-3"/>
          <w:sz w:val="21"/>
        </w:rPr>
        <w:t>严重咀嚼吞咽功能障碍；</w:t>
      </w:r>
    </w:p>
    <w:p>
      <w:pPr>
        <w:pStyle w:val="ListParagraph"/>
        <w:numPr>
          <w:ilvl w:val="0"/>
          <w:numId w:val="119"/>
        </w:numPr>
        <w:tabs>
          <w:tab w:pos="767" w:val="left" w:leader="none"/>
        </w:tabs>
        <w:spacing w:line="240" w:lineRule="auto" w:before="43" w:after="0"/>
        <w:ind w:left="767" w:right="0" w:hanging="529"/>
        <w:jc w:val="left"/>
        <w:rPr>
          <w:sz w:val="21"/>
        </w:rPr>
      </w:pPr>
      <w:r>
        <w:rPr>
          <w:spacing w:val="-4"/>
          <w:sz w:val="21"/>
        </w:rPr>
        <w:t>呼吸肌麻痹导致严重呼吸困难，且已经持续使用呼吸机 </w:t>
      </w:r>
      <w:r>
        <w:rPr>
          <w:spacing w:val="-2"/>
          <w:sz w:val="21"/>
        </w:rPr>
        <w:t>7</w:t>
      </w:r>
      <w:r>
        <w:rPr>
          <w:spacing w:val="-24"/>
          <w:sz w:val="21"/>
        </w:rPr>
        <w:t> 天</w:t>
      </w:r>
      <w:r>
        <w:rPr>
          <w:spacing w:val="-2"/>
          <w:sz w:val="21"/>
        </w:rPr>
        <w:t>（含）</w:t>
      </w:r>
      <w:r>
        <w:rPr>
          <w:spacing w:val="-5"/>
          <w:sz w:val="21"/>
        </w:rPr>
        <w:t>以上；</w:t>
      </w:r>
    </w:p>
    <w:p>
      <w:pPr>
        <w:pStyle w:val="ListParagraph"/>
        <w:numPr>
          <w:ilvl w:val="0"/>
          <w:numId w:val="119"/>
        </w:numPr>
        <w:tabs>
          <w:tab w:pos="767" w:val="left" w:leader="none"/>
        </w:tabs>
        <w:spacing w:line="240" w:lineRule="auto" w:before="43" w:after="0"/>
        <w:ind w:left="767" w:right="0" w:hanging="529"/>
        <w:jc w:val="left"/>
        <w:rPr>
          <w:sz w:val="21"/>
        </w:rPr>
      </w:pPr>
      <w:r>
        <w:rPr>
          <w:spacing w:val="-3"/>
          <w:sz w:val="21"/>
        </w:rPr>
        <w:t>自主生活能力完全丧失，无法独立完成六项基本日常生活活动中的三项或三项以上。</w:t>
      </w:r>
    </w:p>
    <w:p>
      <w:pPr>
        <w:spacing w:after="0" w:line="240" w:lineRule="auto"/>
        <w:jc w:val="left"/>
        <w:rPr>
          <w:sz w:val="21"/>
        </w:rPr>
        <w:sectPr>
          <w:pgSz w:w="11910" w:h="16840"/>
          <w:pgMar w:header="0" w:footer="1005" w:top="1400" w:bottom="1200" w:left="1560" w:right="240"/>
        </w:sectPr>
      </w:pPr>
    </w:p>
    <w:p>
      <w:pPr>
        <w:pStyle w:val="BodyText"/>
        <w:spacing w:before="44"/>
      </w:pPr>
      <w:r>
        <w:rPr>
          <w:spacing w:val="-4"/>
        </w:rPr>
        <w:t>附表五：</w:t>
      </w:r>
    </w:p>
    <w:p>
      <w:pPr>
        <w:spacing w:line="240" w:lineRule="auto" w:before="3"/>
        <w:rPr>
          <w:sz w:val="35"/>
        </w:rPr>
      </w:pPr>
      <w:r>
        <w:rPr/>
        <w:br w:type="column"/>
      </w:r>
      <w:r>
        <w:rPr>
          <w:sz w:val="35"/>
        </w:rPr>
      </w:r>
    </w:p>
    <w:p>
      <w:pPr>
        <w:pStyle w:val="Heading1"/>
      </w:pPr>
      <w:r>
        <w:rPr>
          <w:spacing w:val="-1"/>
          <w:w w:val="95"/>
        </w:rPr>
        <w:t>特定心脑血管疾病列表</w:t>
      </w:r>
    </w:p>
    <w:p>
      <w:pPr>
        <w:spacing w:after="0"/>
        <w:sectPr>
          <w:pgSz w:w="11910" w:h="16840"/>
          <w:pgMar w:header="0" w:footer="1005" w:top="1400" w:bottom="1200" w:left="1560" w:right="240"/>
          <w:cols w:num="2" w:equalWidth="0">
            <w:col w:w="1121" w:space="1529"/>
            <w:col w:w="7460"/>
          </w:cols>
        </w:sectPr>
      </w:pPr>
    </w:p>
    <w:p>
      <w:pPr>
        <w:pStyle w:val="BodyText"/>
        <w:spacing w:before="1"/>
        <w:ind w:left="0"/>
        <w:rPr>
          <w:b/>
          <w:sz w:val="17"/>
        </w:rPr>
      </w:pPr>
    </w:p>
    <w:p>
      <w:pPr>
        <w:pStyle w:val="Heading4"/>
        <w:spacing w:line="266" w:lineRule="auto" w:before="72"/>
        <w:ind w:right="1550"/>
      </w:pPr>
      <w:r>
        <w:rPr>
          <w:spacing w:val="-2"/>
          <w:w w:val="95"/>
        </w:rPr>
        <w:t>本</w:t>
      </w:r>
      <w:r>
        <w:rPr>
          <w:spacing w:val="-2"/>
          <w:w w:val="95"/>
        </w:rPr>
        <w:t>合</w:t>
      </w:r>
      <w:r>
        <w:rPr>
          <w:spacing w:val="-2"/>
          <w:w w:val="95"/>
        </w:rPr>
        <w:t>同所指特定心脑血管疾病，是被保险人发</w:t>
      </w:r>
      <w:r>
        <w:rPr>
          <w:spacing w:val="-2"/>
          <w:w w:val="95"/>
        </w:rPr>
        <w:t>生</w:t>
      </w:r>
      <w:r>
        <w:rPr>
          <w:spacing w:val="-2"/>
          <w:w w:val="95"/>
        </w:rPr>
        <w:t>符</w:t>
      </w:r>
      <w:r>
        <w:rPr>
          <w:spacing w:val="-2"/>
          <w:w w:val="95"/>
        </w:rPr>
        <w:t>合</w:t>
      </w:r>
      <w:r>
        <w:rPr>
          <w:spacing w:val="-2"/>
          <w:w w:val="95"/>
        </w:rPr>
        <w:t>以</w:t>
      </w:r>
      <w:r>
        <w:rPr>
          <w:spacing w:val="-2"/>
          <w:w w:val="95"/>
        </w:rPr>
        <w:t>下定义所述条件的疾病、疾病</w:t>
      </w:r>
      <w:r>
        <w:rPr>
          <w:spacing w:val="-2"/>
          <w:w w:val="95"/>
        </w:rPr>
        <w:t>状</w:t>
      </w:r>
      <w:r>
        <w:rPr>
          <w:spacing w:val="-2"/>
          <w:w w:val="95"/>
        </w:rPr>
        <w:t>态</w:t>
      </w:r>
      <w:r>
        <w:rPr>
          <w:spacing w:val="-2"/>
          <w:w w:val="95"/>
        </w:rPr>
        <w:t>或</w:t>
      </w:r>
      <w:r>
        <w:rPr>
          <w:spacing w:val="-2"/>
          <w:w w:val="95"/>
        </w:rPr>
        <w:t>手术，共计五种，该</w:t>
      </w:r>
      <w:r>
        <w:rPr>
          <w:spacing w:val="-2"/>
          <w:w w:val="95"/>
        </w:rPr>
        <w:t>疾</w:t>
      </w:r>
      <w:r>
        <w:rPr>
          <w:spacing w:val="-2"/>
          <w:w w:val="95"/>
        </w:rPr>
        <w:t>病</w:t>
      </w:r>
      <w:r>
        <w:rPr>
          <w:spacing w:val="-2"/>
          <w:w w:val="95"/>
        </w:rPr>
        <w:t>或手术应由专科医生</w:t>
      </w:r>
      <w:r>
        <w:rPr>
          <w:spacing w:val="-2"/>
          <w:w w:val="95"/>
        </w:rPr>
        <w:t>明</w:t>
      </w:r>
      <w:r>
        <w:rPr>
          <w:spacing w:val="-2"/>
          <w:w w:val="95"/>
        </w:rPr>
        <w:t>确</w:t>
      </w:r>
      <w:r>
        <w:rPr>
          <w:spacing w:val="-2"/>
          <w:w w:val="95"/>
        </w:rPr>
        <w:t>诊</w:t>
      </w:r>
      <w:r>
        <w:rPr>
          <w:spacing w:val="-2"/>
          <w:w w:val="95"/>
        </w:rPr>
        <w:t>断</w:t>
      </w:r>
      <w:r>
        <w:rPr>
          <w:spacing w:val="-2"/>
          <w:w w:val="95"/>
        </w:rPr>
        <w:t>。</w:t>
      </w:r>
    </w:p>
    <w:p>
      <w:pPr>
        <w:pStyle w:val="Heading5"/>
        <w:spacing w:before="8"/>
      </w:pPr>
      <w:r>
        <w:rPr>
          <w:spacing w:val="-3"/>
        </w:rPr>
        <w:t>一、较重急性心肌梗死</w:t>
      </w:r>
    </w:p>
    <w:p>
      <w:pPr>
        <w:pStyle w:val="BodyText"/>
        <w:spacing w:line="278" w:lineRule="auto" w:before="43"/>
        <w:ind w:right="1547"/>
      </w:pPr>
      <w:r>
        <w:rPr>
          <w:w w:val="100"/>
        </w:rPr>
        <w:t>急性心肌梗死指由于冠状动脉闭塞或梗阻引起部分心肌严重的持久性缺血造成急性心肌坏</w:t>
      </w:r>
      <w:r>
        <w:rPr>
          <w:spacing w:val="4"/>
          <w:w w:val="100"/>
        </w:rPr>
        <w:t>死。急性心肌梗死的诊断必须依据国际国内诊断标准，符合</w:t>
      </w:r>
      <w:r>
        <w:rPr>
          <w:spacing w:val="5"/>
          <w:w w:val="100"/>
        </w:rPr>
        <w:t>（</w:t>
      </w:r>
      <w:r>
        <w:rPr>
          <w:spacing w:val="4"/>
          <w:w w:val="100"/>
        </w:rPr>
        <w:t>1）检测到肌酸激酶同工酶</w:t>
      </w:r>
    </w:p>
    <w:p>
      <w:pPr>
        <w:pStyle w:val="BodyText"/>
        <w:spacing w:line="278" w:lineRule="auto"/>
        <w:ind w:right="1548"/>
        <w:jc w:val="both"/>
      </w:pPr>
      <w:r>
        <w:rPr>
          <w:spacing w:val="-2"/>
        </w:rPr>
        <w:t>（CK-MB）或肌钙蛋白（cTn）升高和/或降低的动态变化，至少一次达到或超过心肌梗死的</w:t>
      </w:r>
      <w:r>
        <w:rPr>
          <w:spacing w:val="-19"/>
        </w:rPr>
        <w:t>临床诊断标准；</w:t>
      </w:r>
      <w:r>
        <w:rPr>
          <w:spacing w:val="30"/>
        </w:rPr>
        <w:t>（</w:t>
      </w:r>
      <w:r>
        <w:rPr>
          <w:spacing w:val="28"/>
        </w:rPr>
        <w:t>2</w:t>
      </w:r>
      <w:r>
        <w:rPr>
          <w:spacing w:val="11"/>
        </w:rPr>
        <w:t>）</w:t>
      </w:r>
      <w:r>
        <w:rPr>
          <w:spacing w:val="-6"/>
        </w:rPr>
        <w:t>同时存在下列之一的证据，包括：缺血性胸痛症状、新发生的缺血性心</w:t>
      </w:r>
      <w:r>
        <w:rPr>
          <w:spacing w:val="-6"/>
        </w:rPr>
        <w:t>电图改变、新生成的病理性 </w:t>
      </w:r>
      <w:r>
        <w:rPr>
          <w:spacing w:val="-4"/>
        </w:rPr>
        <w:t>Q</w:t>
      </w:r>
      <w:r>
        <w:rPr>
          <w:spacing w:val="-8"/>
        </w:rPr>
        <w:t> 波、影像学证据显示有新出现的心肌活性丧失或新出现局部室</w:t>
      </w:r>
      <w:r>
        <w:rPr>
          <w:spacing w:val="-2"/>
        </w:rPr>
        <w:t>壁运动异常、冠脉造影证实存在冠状动脉血栓。</w:t>
      </w:r>
    </w:p>
    <w:p>
      <w:pPr>
        <w:pStyle w:val="BodyText"/>
        <w:spacing w:line="278" w:lineRule="auto"/>
        <w:ind w:right="1548"/>
      </w:pPr>
      <w:r>
        <w:rPr>
          <w:spacing w:val="-6"/>
        </w:rPr>
        <w:t>较重急性心肌梗死指依照上述标准被明确诊断为急性心肌梗死，并且必须同时满足下列至少</w:t>
      </w:r>
      <w:r>
        <w:rPr>
          <w:spacing w:val="-2"/>
        </w:rPr>
        <w:t>一项条件：</w:t>
      </w:r>
    </w:p>
    <w:p>
      <w:pPr>
        <w:pStyle w:val="ListParagraph"/>
        <w:numPr>
          <w:ilvl w:val="0"/>
          <w:numId w:val="120"/>
        </w:numPr>
        <w:tabs>
          <w:tab w:pos="767" w:val="left" w:leader="none"/>
        </w:tabs>
        <w:spacing w:line="278" w:lineRule="auto" w:before="0" w:after="0"/>
        <w:ind w:left="238" w:right="1549" w:firstLine="0"/>
        <w:jc w:val="left"/>
        <w:rPr>
          <w:sz w:val="21"/>
        </w:rPr>
      </w:pPr>
      <w:r>
        <w:rPr>
          <w:spacing w:val="-2"/>
          <w:sz w:val="21"/>
        </w:rPr>
        <w:t>心肌损伤标志物肌钙蛋白（cTn）升高，至少一次检测结果达到该检验正常参考值上</w:t>
      </w:r>
      <w:r>
        <w:rPr>
          <w:spacing w:val="-8"/>
          <w:sz w:val="21"/>
        </w:rPr>
        <w:t>限的 </w:t>
      </w:r>
      <w:r>
        <w:rPr>
          <w:sz w:val="21"/>
        </w:rPr>
        <w:t>15</w:t>
      </w:r>
      <w:r>
        <w:rPr>
          <w:spacing w:val="-13"/>
          <w:sz w:val="21"/>
        </w:rPr>
        <w:t> 倍</w:t>
      </w:r>
      <w:r>
        <w:rPr>
          <w:sz w:val="21"/>
        </w:rPr>
        <w:t>（含）以上；</w:t>
      </w:r>
    </w:p>
    <w:p>
      <w:pPr>
        <w:pStyle w:val="ListParagraph"/>
        <w:numPr>
          <w:ilvl w:val="0"/>
          <w:numId w:val="120"/>
        </w:numPr>
        <w:tabs>
          <w:tab w:pos="774" w:val="left" w:leader="none"/>
        </w:tabs>
        <w:spacing w:line="278" w:lineRule="auto" w:before="0" w:after="0"/>
        <w:ind w:left="238" w:right="1551" w:firstLine="0"/>
        <w:jc w:val="left"/>
        <w:rPr>
          <w:sz w:val="21"/>
        </w:rPr>
      </w:pPr>
      <w:r>
        <w:rPr>
          <w:sz w:val="21"/>
        </w:rPr>
        <w:t>肌酸激酶同工酶（CK-MB）升高，至少一次检测结果达到该检验正常参考值上限的 2</w:t>
      </w:r>
      <w:r>
        <w:rPr>
          <w:spacing w:val="-2"/>
          <w:sz w:val="21"/>
        </w:rPr>
        <w:t>倍（含）以上；</w:t>
      </w:r>
    </w:p>
    <w:p>
      <w:pPr>
        <w:pStyle w:val="ListParagraph"/>
        <w:numPr>
          <w:ilvl w:val="0"/>
          <w:numId w:val="120"/>
        </w:numPr>
        <w:tabs>
          <w:tab w:pos="767" w:val="left" w:leader="none"/>
        </w:tabs>
        <w:spacing w:line="278" w:lineRule="auto" w:before="0" w:after="0"/>
        <w:ind w:left="238" w:right="1551" w:firstLine="0"/>
        <w:jc w:val="left"/>
        <w:rPr>
          <w:sz w:val="21"/>
        </w:rPr>
      </w:pPr>
      <w:r>
        <w:rPr>
          <w:spacing w:val="-3"/>
          <w:sz w:val="21"/>
        </w:rPr>
        <w:t>出现左心室收缩功能下降，在确诊 </w:t>
      </w:r>
      <w:r>
        <w:rPr>
          <w:sz w:val="21"/>
        </w:rPr>
        <w:t>6</w:t>
      </w:r>
      <w:r>
        <w:rPr>
          <w:spacing w:val="-7"/>
          <w:sz w:val="21"/>
        </w:rPr>
        <w:t> 周以后，检测左室射血分数</w:t>
      </w:r>
      <w:r>
        <w:rPr>
          <w:sz w:val="21"/>
        </w:rPr>
        <w:t>（LVEF）</w:t>
      </w:r>
      <w:r>
        <w:rPr>
          <w:spacing w:val="-15"/>
          <w:sz w:val="21"/>
        </w:rPr>
        <w:t>低于 </w:t>
      </w:r>
      <w:r>
        <w:rPr>
          <w:sz w:val="21"/>
        </w:rPr>
        <w:t>50%（</w:t>
      </w:r>
      <w:r>
        <w:rPr>
          <w:spacing w:val="-6"/>
          <w:sz w:val="21"/>
        </w:rPr>
        <w:t>不含</w:t>
      </w:r>
      <w:r>
        <w:rPr>
          <w:spacing w:val="-106"/>
          <w:sz w:val="21"/>
        </w:rPr>
        <w:t>）</w:t>
      </w:r>
      <w:r>
        <w:rPr>
          <w:sz w:val="21"/>
        </w:rPr>
        <w:t>；</w:t>
      </w:r>
    </w:p>
    <w:p>
      <w:pPr>
        <w:pStyle w:val="ListParagraph"/>
        <w:numPr>
          <w:ilvl w:val="0"/>
          <w:numId w:val="120"/>
        </w:numPr>
        <w:tabs>
          <w:tab w:pos="767" w:val="left" w:leader="none"/>
        </w:tabs>
        <w:spacing w:line="278" w:lineRule="auto" w:before="0" w:after="0"/>
        <w:ind w:left="238" w:right="1549" w:firstLine="0"/>
        <w:jc w:val="left"/>
        <w:rPr>
          <w:sz w:val="21"/>
        </w:rPr>
      </w:pPr>
      <w:r>
        <w:rPr>
          <w:spacing w:val="-2"/>
          <w:sz w:val="21"/>
        </w:rPr>
        <w:t>影像学检查证实存在新发的乳头肌功能失调或断裂引起的中度（含）以上的二尖瓣反</w:t>
      </w:r>
      <w:r>
        <w:rPr>
          <w:spacing w:val="-6"/>
          <w:sz w:val="21"/>
        </w:rPr>
        <w:t>流；</w:t>
      </w:r>
    </w:p>
    <w:p>
      <w:pPr>
        <w:pStyle w:val="ListParagraph"/>
        <w:numPr>
          <w:ilvl w:val="0"/>
          <w:numId w:val="120"/>
        </w:numPr>
        <w:tabs>
          <w:tab w:pos="767" w:val="left" w:leader="none"/>
        </w:tabs>
        <w:spacing w:line="269" w:lineRule="exact" w:before="0" w:after="0"/>
        <w:ind w:left="767" w:right="0" w:hanging="529"/>
        <w:jc w:val="left"/>
        <w:rPr>
          <w:sz w:val="21"/>
        </w:rPr>
      </w:pPr>
      <w:r>
        <w:rPr>
          <w:spacing w:val="-3"/>
          <w:sz w:val="21"/>
        </w:rPr>
        <w:t>影像学检查证实存在新出现的室壁瘤；</w:t>
      </w:r>
    </w:p>
    <w:p>
      <w:pPr>
        <w:pStyle w:val="ListParagraph"/>
        <w:numPr>
          <w:ilvl w:val="0"/>
          <w:numId w:val="120"/>
        </w:numPr>
        <w:tabs>
          <w:tab w:pos="767" w:val="left" w:leader="none"/>
        </w:tabs>
        <w:spacing w:line="240" w:lineRule="auto" w:before="42" w:after="0"/>
        <w:ind w:left="767" w:right="0" w:hanging="529"/>
        <w:jc w:val="left"/>
        <w:rPr>
          <w:sz w:val="21"/>
        </w:rPr>
      </w:pPr>
      <w:r>
        <w:rPr>
          <w:spacing w:val="-3"/>
          <w:sz w:val="21"/>
        </w:rPr>
        <w:t>出现室性心动过速、心室颤动或心源性休克。</w:t>
      </w:r>
    </w:p>
    <w:p>
      <w:pPr>
        <w:pStyle w:val="Heading5"/>
        <w:spacing w:line="278" w:lineRule="auto" w:before="43"/>
        <w:ind w:right="2800"/>
      </w:pPr>
      <w:r>
        <w:rPr>
          <w:spacing w:val="-2"/>
        </w:rPr>
        <w:t>其他非冠状动脉阻塞性疾病所引起的肌钙蛋白（cTn）升高不在保障范围内。</w:t>
      </w:r>
      <w:r>
        <w:rPr>
          <w:spacing w:val="-2"/>
        </w:rPr>
        <w:t>二、严重脑中风后遗症</w:t>
      </w:r>
    </w:p>
    <w:p>
      <w:pPr>
        <w:pStyle w:val="BodyText"/>
        <w:spacing w:line="278" w:lineRule="auto"/>
        <w:ind w:right="1549"/>
        <w:jc w:val="both"/>
      </w:pPr>
      <w:r>
        <w:rPr>
          <w:spacing w:val="-4"/>
        </w:rPr>
        <w:t>指因脑血管的突发病变引起脑血管出血、栓塞或梗塞，须由头颅断层扫描</w:t>
      </w:r>
      <w:r>
        <w:rPr>
          <w:spacing w:val="21"/>
        </w:rPr>
        <w:t>（C</w:t>
      </w:r>
      <w:r>
        <w:rPr>
          <w:spacing w:val="24"/>
        </w:rPr>
        <w:t>T</w:t>
      </w:r>
      <w:r>
        <w:rPr>
          <w:spacing w:val="-82"/>
        </w:rPr>
        <w:t>）</w:t>
      </w:r>
      <w:r>
        <w:rPr>
          <w:spacing w:val="-4"/>
        </w:rPr>
        <w:t>、核磁共振</w:t>
      </w:r>
      <w:r>
        <w:rPr>
          <w:spacing w:val="-2"/>
        </w:rPr>
        <w:t>检查（MRI）等影像学检查证实，并导致神经系统永久性的功能障碍。神经系统永久性的功</w:t>
      </w:r>
      <w:r>
        <w:rPr>
          <w:spacing w:val="-3"/>
        </w:rPr>
        <w:t>能障碍，指疾病确诊 </w:t>
      </w:r>
      <w:r>
        <w:rPr/>
        <w:t>180</w:t>
      </w:r>
      <w:r>
        <w:rPr>
          <w:spacing w:val="-5"/>
        </w:rPr>
        <w:t> 天后，仍遗留下列至少一种障碍：</w:t>
      </w:r>
    </w:p>
    <w:p>
      <w:pPr>
        <w:pStyle w:val="ListParagraph"/>
        <w:numPr>
          <w:ilvl w:val="0"/>
          <w:numId w:val="121"/>
        </w:numPr>
        <w:tabs>
          <w:tab w:pos="767" w:val="left" w:leader="none"/>
        </w:tabs>
        <w:spacing w:line="269" w:lineRule="exact" w:before="0" w:after="0"/>
        <w:ind w:left="767" w:right="0" w:hanging="529"/>
        <w:jc w:val="both"/>
        <w:rPr>
          <w:sz w:val="21"/>
        </w:rPr>
      </w:pPr>
      <w:r>
        <w:rPr>
          <w:spacing w:val="-2"/>
          <w:sz w:val="21"/>
        </w:rPr>
        <w:t>一肢（含）</w:t>
      </w:r>
      <w:r>
        <w:rPr>
          <w:spacing w:val="-9"/>
          <w:sz w:val="21"/>
        </w:rPr>
        <w:t>以上肢体肌力 </w:t>
      </w:r>
      <w:r>
        <w:rPr>
          <w:spacing w:val="-2"/>
          <w:sz w:val="21"/>
        </w:rPr>
        <w:t>2</w:t>
      </w:r>
      <w:r>
        <w:rPr>
          <w:spacing w:val="-26"/>
          <w:sz w:val="21"/>
        </w:rPr>
        <w:t> 级</w:t>
      </w:r>
      <w:r>
        <w:rPr>
          <w:spacing w:val="-2"/>
          <w:sz w:val="21"/>
        </w:rPr>
        <w:t>（含）</w:t>
      </w:r>
      <w:r>
        <w:rPr>
          <w:spacing w:val="-5"/>
          <w:sz w:val="21"/>
        </w:rPr>
        <w:t>以下；</w:t>
      </w:r>
    </w:p>
    <w:p>
      <w:pPr>
        <w:pStyle w:val="ListParagraph"/>
        <w:numPr>
          <w:ilvl w:val="0"/>
          <w:numId w:val="121"/>
        </w:numPr>
        <w:tabs>
          <w:tab w:pos="767" w:val="left" w:leader="none"/>
        </w:tabs>
        <w:spacing w:line="240" w:lineRule="auto" w:before="43" w:after="0"/>
        <w:ind w:left="767" w:right="0" w:hanging="529"/>
        <w:jc w:val="left"/>
        <w:rPr>
          <w:sz w:val="21"/>
        </w:rPr>
      </w:pPr>
      <w:r>
        <w:rPr>
          <w:spacing w:val="-3"/>
          <w:sz w:val="21"/>
        </w:rPr>
        <w:t>语言能力完全丧失，或严重咀嚼吞咽功能障碍；</w:t>
      </w:r>
    </w:p>
    <w:p>
      <w:pPr>
        <w:pStyle w:val="ListParagraph"/>
        <w:numPr>
          <w:ilvl w:val="0"/>
          <w:numId w:val="121"/>
        </w:numPr>
        <w:tabs>
          <w:tab w:pos="767" w:val="left" w:leader="none"/>
        </w:tabs>
        <w:spacing w:line="278" w:lineRule="auto" w:before="43" w:after="0"/>
        <w:ind w:left="238" w:right="1565" w:firstLine="0"/>
        <w:jc w:val="left"/>
        <w:rPr>
          <w:b/>
          <w:sz w:val="21"/>
        </w:rPr>
      </w:pPr>
      <w:r>
        <w:rPr>
          <w:spacing w:val="-2"/>
          <w:sz w:val="21"/>
        </w:rPr>
        <w:t>自主生活能力完全丧失，无法独立完成六项基本日常生活活动中的三项或三项以上。</w:t>
      </w:r>
      <w:r>
        <w:rPr>
          <w:b/>
          <w:spacing w:val="-2"/>
          <w:sz w:val="21"/>
        </w:rPr>
        <w:t>三、冠状动脉搭桥术（或称冠状动脉旁路移植术）</w:t>
      </w:r>
    </w:p>
    <w:p>
      <w:pPr>
        <w:spacing w:line="278" w:lineRule="auto" w:before="0"/>
        <w:ind w:left="238" w:right="2089" w:firstLine="0"/>
        <w:jc w:val="left"/>
        <w:rPr>
          <w:b/>
          <w:sz w:val="21"/>
        </w:rPr>
      </w:pPr>
      <w:r>
        <w:rPr>
          <w:spacing w:val="-2"/>
          <w:sz w:val="21"/>
        </w:rPr>
        <w:t>指为治疗严重的冠心病，已经实施了切开心包进行的冠状动脉血管旁路移植的手术。</w:t>
      </w:r>
      <w:r>
        <w:rPr>
          <w:b/>
          <w:spacing w:val="-2"/>
          <w:sz w:val="21"/>
        </w:rPr>
        <w:t>所有未切开心包的冠状动脉介入治疗不在保障范围内。</w:t>
      </w:r>
    </w:p>
    <w:p>
      <w:pPr>
        <w:pStyle w:val="Heading5"/>
        <w:spacing w:line="269" w:lineRule="exact"/>
      </w:pPr>
      <w:r>
        <w:rPr>
          <w:spacing w:val="-2"/>
        </w:rPr>
        <w:t>四、心脏瓣膜手术</w:t>
      </w:r>
    </w:p>
    <w:p>
      <w:pPr>
        <w:spacing w:line="278" w:lineRule="auto" w:before="43"/>
        <w:ind w:left="238" w:right="2298" w:firstLine="0"/>
        <w:jc w:val="left"/>
        <w:rPr>
          <w:b/>
          <w:sz w:val="21"/>
        </w:rPr>
      </w:pPr>
      <w:r>
        <w:rPr>
          <w:spacing w:val="-2"/>
          <w:sz w:val="21"/>
        </w:rPr>
        <w:t>指为治疗心脏瓣膜疾病，已经实施了切开心脏进行的心脏瓣膜置换或修复的手术。</w:t>
      </w:r>
      <w:r>
        <w:rPr>
          <w:b/>
          <w:spacing w:val="-2"/>
          <w:sz w:val="21"/>
        </w:rPr>
        <w:t>所有未切开心脏的心脏瓣膜介入手术不在保障范围内。</w:t>
      </w:r>
    </w:p>
    <w:p>
      <w:pPr>
        <w:pStyle w:val="Heading5"/>
      </w:pPr>
      <w:r>
        <w:rPr>
          <w:spacing w:val="-2"/>
        </w:rPr>
        <w:t>五、主动脉手术</w:t>
      </w:r>
    </w:p>
    <w:p>
      <w:pPr>
        <w:pStyle w:val="BodyText"/>
        <w:spacing w:line="278" w:lineRule="auto" w:before="43"/>
        <w:ind w:right="1460"/>
      </w:pPr>
      <w:r>
        <w:rPr>
          <w:spacing w:val="-2"/>
        </w:rPr>
        <w:t>指为治疗主动脉疾病或主动脉创伤，已经实施了开胸（含胸腔镜下）或开腹（含腹腔镜下）</w:t>
      </w:r>
      <w:r>
        <w:rPr>
          <w:spacing w:val="-2"/>
        </w:rPr>
        <w:t>进行的切除、置换、修补病损主动脉血管、主动脉创伤后修复的手术。主动脉指升主动脉、</w:t>
      </w:r>
      <w:r>
        <w:rPr>
          <w:spacing w:val="-2"/>
        </w:rPr>
        <w:t>主动脉弓和降主动脉（含胸主动脉和腹主动脉</w:t>
      </w:r>
      <w:r>
        <w:rPr>
          <w:spacing w:val="-106"/>
        </w:rPr>
        <w:t>）</w:t>
      </w:r>
      <w:r>
        <w:rPr>
          <w:spacing w:val="-2"/>
        </w:rPr>
        <w:t>，不包括升主动脉、主动脉弓和降主动脉的</w:t>
      </w:r>
      <w:r>
        <w:rPr>
          <w:spacing w:val="-2"/>
        </w:rPr>
        <w:t>分支血管。</w:t>
      </w:r>
    </w:p>
    <w:p>
      <w:pPr>
        <w:pStyle w:val="Heading5"/>
        <w:spacing w:line="269" w:lineRule="exact"/>
      </w:pPr>
      <w:r>
        <w:rPr>
          <w:spacing w:val="-3"/>
        </w:rPr>
        <w:t>所有未实施开胸或开腹的动脉内介入治疗不在保障范围内。</w:t>
      </w:r>
    </w:p>
    <w:p>
      <w:pPr>
        <w:spacing w:after="0" w:line="269" w:lineRule="exact"/>
        <w:sectPr>
          <w:type w:val="continuous"/>
          <w:pgSz w:w="11910" w:h="16840"/>
          <w:pgMar w:header="0" w:footer="1005" w:top="240" w:bottom="1200" w:left="1560" w:right="240"/>
        </w:sectPr>
      </w:pPr>
    </w:p>
    <w:p>
      <w:pPr>
        <w:pStyle w:val="BodyText"/>
        <w:spacing w:before="44"/>
      </w:pPr>
      <w:r>
        <w:rPr>
          <w:spacing w:val="-4"/>
        </w:rPr>
        <w:t>附表六：</w:t>
      </w:r>
    </w:p>
    <w:p>
      <w:pPr>
        <w:spacing w:line="240" w:lineRule="auto" w:before="3"/>
        <w:rPr>
          <w:sz w:val="35"/>
        </w:rPr>
      </w:pPr>
      <w:r>
        <w:rPr/>
        <w:br w:type="column"/>
      </w:r>
      <w:r>
        <w:rPr>
          <w:sz w:val="35"/>
        </w:rPr>
      </w:r>
    </w:p>
    <w:p>
      <w:pPr>
        <w:pStyle w:val="Heading1"/>
      </w:pPr>
      <w:r>
        <w:rPr>
          <w:spacing w:val="-3"/>
          <w:w w:val="95"/>
        </w:rPr>
        <w:t>术语释义</w:t>
      </w:r>
    </w:p>
    <w:p>
      <w:pPr>
        <w:spacing w:after="0"/>
        <w:sectPr>
          <w:pgSz w:w="11910" w:h="16840"/>
          <w:pgMar w:header="0" w:footer="1005" w:top="1400" w:bottom="1200" w:left="1560" w:right="240"/>
          <w:cols w:num="2" w:equalWidth="0">
            <w:col w:w="1121" w:space="2432"/>
            <w:col w:w="6557"/>
          </w:cols>
        </w:sectPr>
      </w:pPr>
    </w:p>
    <w:p>
      <w:pPr>
        <w:pStyle w:val="BodyText"/>
        <w:spacing w:before="4"/>
        <w:ind w:left="0"/>
        <w:rPr>
          <w:b/>
          <w:sz w:val="29"/>
        </w:rPr>
      </w:pPr>
    </w:p>
    <w:p>
      <w:pPr>
        <w:spacing w:line="266" w:lineRule="auto" w:before="71"/>
        <w:ind w:left="238" w:right="1445" w:firstLine="419"/>
        <w:jc w:val="left"/>
        <w:rPr>
          <w:i/>
          <w:sz w:val="22"/>
        </w:rPr>
      </w:pPr>
      <w:r>
        <w:rPr>
          <w:i/>
          <w:spacing w:val="-17"/>
          <w:w w:val="96"/>
          <w:sz w:val="22"/>
        </w:rPr>
        <w:t>本合同“附表一：重大疾病列表”</w:t>
      </w:r>
      <w:r>
        <w:rPr>
          <w:i/>
          <w:spacing w:val="-24"/>
          <w:w w:val="96"/>
          <w:sz w:val="22"/>
        </w:rPr>
        <w:t>、“附表二：中症疾病列表”、“附表三：轻症疾病列表” </w:t>
      </w:r>
      <w:r>
        <w:rPr>
          <w:i/>
          <w:spacing w:val="-15"/>
          <w:w w:val="96"/>
          <w:sz w:val="22"/>
        </w:rPr>
        <w:t>“附表四：特定疾病列表”“附表五：特定心脑血管疾病列表”列明的疾病定义中的部分术</w:t>
      </w:r>
      <w:r>
        <w:rPr>
          <w:i/>
          <w:spacing w:val="-12"/>
          <w:w w:val="96"/>
          <w:sz w:val="22"/>
        </w:rPr>
        <w:t>语释义如下，其释义与中国保险行业协会发布的《重大疾病保险的疾病定义使用规范</w:t>
      </w:r>
      <w:r>
        <w:rPr>
          <w:i/>
          <w:w w:val="96"/>
          <w:sz w:val="22"/>
        </w:rPr>
        <w:t>（20</w:t>
      </w:r>
      <w:r>
        <w:rPr>
          <w:i/>
          <w:spacing w:val="-3"/>
          <w:w w:val="96"/>
          <w:sz w:val="22"/>
        </w:rPr>
        <w:t>2</w:t>
      </w:r>
      <w:r>
        <w:rPr>
          <w:i/>
          <w:w w:val="96"/>
          <w:sz w:val="22"/>
        </w:rPr>
        <w:t>0</w:t>
      </w:r>
      <w:r>
        <w:rPr>
          <w:i/>
          <w:spacing w:val="-1"/>
          <w:w w:val="96"/>
          <w:sz w:val="22"/>
        </w:rPr>
        <w:t>年修订版</w:t>
      </w:r>
      <w:r>
        <w:rPr>
          <w:i/>
          <w:spacing w:val="-108"/>
          <w:w w:val="96"/>
          <w:sz w:val="22"/>
        </w:rPr>
        <w:t>）</w:t>
      </w:r>
      <w:r>
        <w:rPr>
          <w:i/>
          <w:spacing w:val="-3"/>
          <w:w w:val="96"/>
          <w:sz w:val="22"/>
        </w:rPr>
        <w:t>》中列明的术语释义一致。</w:t>
      </w:r>
    </w:p>
    <w:p>
      <w:pPr>
        <w:pStyle w:val="Heading3"/>
        <w:spacing w:line="281" w:lineRule="exact"/>
      </w:pPr>
      <w:r>
        <w:rPr>
          <w:w w:val="95"/>
        </w:rPr>
        <w:t>一</w:t>
      </w:r>
      <w:r>
        <w:rPr>
          <w:w w:val="95"/>
        </w:rPr>
        <w:t>、</w:t>
      </w:r>
      <w:r>
        <w:rPr>
          <w:w w:val="95"/>
        </w:rPr>
        <w:t>专</w:t>
      </w:r>
      <w:r>
        <w:rPr>
          <w:w w:val="95"/>
        </w:rPr>
        <w:t>科</w:t>
      </w:r>
      <w:r>
        <w:rPr>
          <w:w w:val="95"/>
        </w:rPr>
        <w:t>医</w:t>
      </w:r>
      <w:r>
        <w:rPr>
          <w:spacing w:val="-10"/>
          <w:w w:val="95"/>
        </w:rPr>
        <w:t>生</w:t>
      </w:r>
    </w:p>
    <w:p>
      <w:pPr>
        <w:spacing w:before="30"/>
        <w:ind w:left="238" w:right="0" w:firstLine="0"/>
        <w:jc w:val="left"/>
        <w:rPr>
          <w:sz w:val="22"/>
        </w:rPr>
      </w:pPr>
      <w:r>
        <w:rPr>
          <w:spacing w:val="-3"/>
          <w:sz w:val="22"/>
        </w:rPr>
        <w:t>专科医生应当同时满足以下四项资格条件：</w:t>
      </w:r>
    </w:p>
    <w:p>
      <w:pPr>
        <w:pStyle w:val="ListParagraph"/>
        <w:numPr>
          <w:ilvl w:val="0"/>
          <w:numId w:val="122"/>
        </w:numPr>
        <w:tabs>
          <w:tab w:pos="791" w:val="left" w:leader="none"/>
        </w:tabs>
        <w:spacing w:line="240" w:lineRule="auto" w:before="30" w:after="0"/>
        <w:ind w:left="791" w:right="0" w:hanging="553"/>
        <w:jc w:val="left"/>
        <w:rPr>
          <w:sz w:val="22"/>
        </w:rPr>
      </w:pPr>
      <w:r>
        <w:rPr>
          <w:spacing w:val="-9"/>
          <w:sz w:val="22"/>
        </w:rPr>
        <w:t>具有有效的中华人民共和国《医师资格证书》；</w:t>
      </w:r>
    </w:p>
    <w:p>
      <w:pPr>
        <w:pStyle w:val="ListParagraph"/>
        <w:numPr>
          <w:ilvl w:val="0"/>
          <w:numId w:val="122"/>
        </w:numPr>
        <w:tabs>
          <w:tab w:pos="791" w:val="left" w:leader="none"/>
        </w:tabs>
        <w:spacing w:line="240" w:lineRule="auto" w:before="31" w:after="0"/>
        <w:ind w:left="791" w:right="0" w:hanging="553"/>
        <w:jc w:val="left"/>
        <w:rPr>
          <w:sz w:val="22"/>
        </w:rPr>
      </w:pPr>
      <w:r>
        <w:rPr>
          <w:spacing w:val="-9"/>
          <w:sz w:val="22"/>
        </w:rPr>
        <w:t>具有有效的中华人民共和国《医师执业证书》，并按期到相关部门登记注册；</w:t>
      </w:r>
    </w:p>
    <w:p>
      <w:pPr>
        <w:pStyle w:val="ListParagraph"/>
        <w:numPr>
          <w:ilvl w:val="0"/>
          <w:numId w:val="122"/>
        </w:numPr>
        <w:tabs>
          <w:tab w:pos="791" w:val="left" w:leader="none"/>
        </w:tabs>
        <w:spacing w:line="240" w:lineRule="auto" w:before="30" w:after="0"/>
        <w:ind w:left="791" w:right="0" w:hanging="553"/>
        <w:jc w:val="left"/>
        <w:rPr>
          <w:sz w:val="22"/>
        </w:rPr>
      </w:pPr>
      <w:r>
        <w:rPr>
          <w:spacing w:val="-7"/>
          <w:sz w:val="22"/>
        </w:rPr>
        <w:t>具有有效的中华人民共和国主治医师或主治医师以上职称的《医师职称证书》；</w:t>
      </w:r>
    </w:p>
    <w:p>
      <w:pPr>
        <w:pStyle w:val="ListParagraph"/>
        <w:numPr>
          <w:ilvl w:val="0"/>
          <w:numId w:val="122"/>
        </w:numPr>
        <w:tabs>
          <w:tab w:pos="791" w:val="left" w:leader="none"/>
        </w:tabs>
        <w:spacing w:line="266" w:lineRule="auto" w:before="30" w:after="0"/>
        <w:ind w:left="238" w:right="1614" w:firstLine="0"/>
        <w:jc w:val="left"/>
        <w:rPr>
          <w:sz w:val="22"/>
        </w:rPr>
      </w:pPr>
      <w:r>
        <w:rPr>
          <w:spacing w:val="-2"/>
          <w:sz w:val="22"/>
        </w:rPr>
        <w:t>在国家《医院分级管理标准》二级或二级以上医院的相应科室从事临床工作三年</w:t>
      </w:r>
      <w:r>
        <w:rPr>
          <w:spacing w:val="-4"/>
          <w:sz w:val="22"/>
        </w:rPr>
        <w:t>以上。</w:t>
      </w:r>
    </w:p>
    <w:p>
      <w:pPr>
        <w:pStyle w:val="Heading3"/>
      </w:pPr>
      <w:r>
        <w:rPr>
          <w:w w:val="95"/>
        </w:rPr>
        <w:t>二、</w:t>
      </w:r>
      <w:r>
        <w:rPr>
          <w:w w:val="95"/>
        </w:rPr>
        <w:t>组</w:t>
      </w:r>
      <w:r>
        <w:rPr>
          <w:w w:val="95"/>
        </w:rPr>
        <w:t>织</w:t>
      </w:r>
      <w:r>
        <w:rPr>
          <w:w w:val="95"/>
        </w:rPr>
        <w:t>病</w:t>
      </w:r>
      <w:r>
        <w:rPr>
          <w:w w:val="95"/>
        </w:rPr>
        <w:t>理</w:t>
      </w:r>
      <w:r>
        <w:rPr>
          <w:w w:val="95"/>
        </w:rPr>
        <w:t>学</w:t>
      </w:r>
      <w:r>
        <w:rPr>
          <w:w w:val="95"/>
        </w:rPr>
        <w:t>检</w:t>
      </w:r>
      <w:r>
        <w:rPr>
          <w:spacing w:val="-10"/>
          <w:w w:val="95"/>
        </w:rPr>
        <w:t>查</w:t>
      </w:r>
    </w:p>
    <w:p>
      <w:pPr>
        <w:spacing w:line="266" w:lineRule="auto" w:before="30"/>
        <w:ind w:left="238" w:right="1442" w:firstLine="0"/>
        <w:jc w:val="left"/>
        <w:rPr>
          <w:sz w:val="22"/>
        </w:rPr>
      </w:pPr>
      <w:r>
        <w:rPr>
          <w:spacing w:val="-11"/>
          <w:sz w:val="22"/>
        </w:rPr>
        <w:t>组织病理学检查是通过局部切除、钳取、穿刺等手术方法，从患者机体采取病变组织块，</w:t>
      </w:r>
      <w:r>
        <w:rPr>
          <w:spacing w:val="-2"/>
          <w:sz w:val="22"/>
        </w:rPr>
        <w:t>经过包埋、切片后，进行病理检查的方法。</w:t>
      </w:r>
    </w:p>
    <w:p>
      <w:pPr>
        <w:pStyle w:val="Heading3"/>
        <w:spacing w:line="266" w:lineRule="auto"/>
        <w:ind w:right="1552"/>
        <w:jc w:val="both"/>
      </w:pPr>
      <w:r>
        <w:rPr>
          <w:spacing w:val="-4"/>
        </w:rPr>
        <w:t>通</w:t>
      </w:r>
      <w:r>
        <w:rPr>
          <w:spacing w:val="-4"/>
        </w:rPr>
        <w:t>过</w:t>
      </w:r>
      <w:r>
        <w:rPr>
          <w:spacing w:val="-4"/>
        </w:rPr>
        <w:t>采</w:t>
      </w:r>
      <w:r>
        <w:rPr>
          <w:spacing w:val="-4"/>
        </w:rPr>
        <w:t>集</w:t>
      </w:r>
      <w:r>
        <w:rPr>
          <w:spacing w:val="-4"/>
        </w:rPr>
        <w:t>病</w:t>
      </w:r>
      <w:r>
        <w:rPr>
          <w:spacing w:val="-4"/>
        </w:rPr>
        <w:t>变</w:t>
      </w:r>
      <w:r>
        <w:rPr>
          <w:spacing w:val="-4"/>
        </w:rPr>
        <w:t>部</w:t>
      </w:r>
      <w:r>
        <w:rPr>
          <w:spacing w:val="-4"/>
        </w:rPr>
        <w:t>位</w:t>
      </w:r>
      <w:r>
        <w:rPr>
          <w:spacing w:val="-4"/>
        </w:rPr>
        <w:t>脱</w:t>
      </w:r>
      <w:r>
        <w:rPr>
          <w:spacing w:val="-4"/>
        </w:rPr>
        <w:t>落</w:t>
      </w:r>
      <w:r>
        <w:rPr>
          <w:spacing w:val="-4"/>
        </w:rPr>
        <w:t>细</w:t>
      </w:r>
      <w:r>
        <w:rPr>
          <w:spacing w:val="-4"/>
        </w:rPr>
        <w:t>胞</w:t>
      </w:r>
      <w:r>
        <w:rPr>
          <w:spacing w:val="-4"/>
        </w:rPr>
        <w:t>、</w:t>
      </w:r>
      <w:r>
        <w:rPr>
          <w:spacing w:val="-4"/>
        </w:rPr>
        <w:t>细</w:t>
      </w:r>
      <w:r>
        <w:rPr>
          <w:spacing w:val="-4"/>
        </w:rPr>
        <w:t>针</w:t>
      </w:r>
      <w:r>
        <w:rPr>
          <w:spacing w:val="-4"/>
        </w:rPr>
        <w:t>吸</w:t>
      </w:r>
      <w:r>
        <w:rPr>
          <w:spacing w:val="-4"/>
        </w:rPr>
        <w:t>取</w:t>
      </w:r>
      <w:r>
        <w:rPr>
          <w:spacing w:val="-4"/>
        </w:rPr>
        <w:t>病</w:t>
      </w:r>
      <w:r>
        <w:rPr>
          <w:spacing w:val="-4"/>
        </w:rPr>
        <w:t>变</w:t>
      </w:r>
      <w:r>
        <w:rPr>
          <w:spacing w:val="-4"/>
        </w:rPr>
        <w:t>部</w:t>
      </w:r>
      <w:r>
        <w:rPr>
          <w:spacing w:val="-4"/>
        </w:rPr>
        <w:t>位</w:t>
      </w:r>
      <w:r>
        <w:rPr>
          <w:spacing w:val="-4"/>
        </w:rPr>
        <w:t>细</w:t>
      </w:r>
      <w:r>
        <w:rPr>
          <w:spacing w:val="-4"/>
        </w:rPr>
        <w:t>胞</w:t>
      </w:r>
      <w:r>
        <w:rPr>
          <w:spacing w:val="-4"/>
        </w:rPr>
        <w:t>、</w:t>
      </w:r>
      <w:r>
        <w:rPr>
          <w:spacing w:val="-4"/>
        </w:rPr>
        <w:t>体</w:t>
      </w:r>
      <w:r>
        <w:rPr>
          <w:spacing w:val="-4"/>
        </w:rPr>
        <w:t>腔</w:t>
      </w:r>
      <w:r>
        <w:rPr>
          <w:spacing w:val="-4"/>
        </w:rPr>
        <w:t>积</w:t>
      </w:r>
      <w:r>
        <w:rPr>
          <w:spacing w:val="-4"/>
        </w:rPr>
        <w:t>液</w:t>
      </w:r>
      <w:r>
        <w:rPr>
          <w:spacing w:val="-4"/>
        </w:rPr>
        <w:t>分</w:t>
      </w:r>
      <w:r>
        <w:rPr>
          <w:spacing w:val="-4"/>
        </w:rPr>
        <w:t>离</w:t>
      </w:r>
      <w:r>
        <w:rPr>
          <w:spacing w:val="-4"/>
        </w:rPr>
        <w:t>病</w:t>
      </w:r>
      <w:r>
        <w:rPr>
          <w:spacing w:val="-4"/>
        </w:rPr>
        <w:t>变</w:t>
      </w:r>
      <w:r>
        <w:rPr>
          <w:spacing w:val="-4"/>
        </w:rPr>
        <w:t>细</w:t>
      </w:r>
      <w:r>
        <w:rPr>
          <w:spacing w:val="-4"/>
        </w:rPr>
        <w:t>胞</w:t>
      </w:r>
      <w:r>
        <w:rPr>
          <w:spacing w:val="-4"/>
        </w:rPr>
        <w:t>等</w:t>
      </w:r>
      <w:r>
        <w:rPr>
          <w:spacing w:val="-4"/>
        </w:rPr>
        <w:t>方</w:t>
      </w:r>
      <w:r>
        <w:rPr>
          <w:spacing w:val="-4"/>
        </w:rPr>
        <w:t>式</w:t>
      </w:r>
      <w:r>
        <w:rPr>
          <w:spacing w:val="-4"/>
        </w:rPr>
        <w:t>获</w:t>
      </w:r>
      <w:r>
        <w:rPr>
          <w:spacing w:val="-4"/>
        </w:rPr>
        <w:t>取</w:t>
      </w:r>
      <w:r>
        <w:rPr>
          <w:spacing w:val="-4"/>
        </w:rPr>
        <w:t>病</w:t>
      </w:r>
      <w:r>
        <w:rPr>
          <w:spacing w:val="-4"/>
        </w:rPr>
        <w:t>变</w:t>
      </w:r>
      <w:r>
        <w:rPr>
          <w:spacing w:val="-4"/>
        </w:rPr>
        <w:t>细</w:t>
      </w:r>
      <w:r>
        <w:rPr>
          <w:spacing w:val="-4"/>
        </w:rPr>
        <w:t>胞</w:t>
      </w:r>
      <w:r>
        <w:rPr>
          <w:spacing w:val="-4"/>
        </w:rPr>
        <w:t>，</w:t>
      </w:r>
      <w:r>
        <w:rPr>
          <w:spacing w:val="-4"/>
        </w:rPr>
        <w:t>制</w:t>
      </w:r>
      <w:r>
        <w:rPr>
          <w:spacing w:val="-4"/>
        </w:rPr>
        <w:t>成</w:t>
      </w:r>
      <w:r>
        <w:rPr>
          <w:spacing w:val="-4"/>
        </w:rPr>
        <w:t>涂</w:t>
      </w:r>
      <w:r>
        <w:rPr>
          <w:spacing w:val="-4"/>
        </w:rPr>
        <w:t>片</w:t>
      </w:r>
      <w:r>
        <w:rPr>
          <w:spacing w:val="-4"/>
        </w:rPr>
        <w:t>，</w:t>
      </w:r>
      <w:r>
        <w:rPr>
          <w:spacing w:val="-4"/>
        </w:rPr>
        <w:t>进</w:t>
      </w:r>
      <w:r>
        <w:rPr>
          <w:spacing w:val="-4"/>
        </w:rPr>
        <w:t>行</w:t>
      </w:r>
      <w:r>
        <w:rPr>
          <w:spacing w:val="-4"/>
        </w:rPr>
        <w:t>病</w:t>
      </w:r>
      <w:r>
        <w:rPr>
          <w:spacing w:val="-4"/>
        </w:rPr>
        <w:t>理</w:t>
      </w:r>
      <w:r>
        <w:rPr>
          <w:spacing w:val="-4"/>
        </w:rPr>
        <w:t>检</w:t>
      </w:r>
      <w:r>
        <w:rPr>
          <w:spacing w:val="-4"/>
        </w:rPr>
        <w:t>查</w:t>
      </w:r>
      <w:r>
        <w:rPr>
          <w:spacing w:val="-4"/>
        </w:rPr>
        <w:t>的</w:t>
      </w:r>
      <w:r>
        <w:rPr>
          <w:spacing w:val="-4"/>
        </w:rPr>
        <w:t>方</w:t>
      </w:r>
      <w:r>
        <w:rPr>
          <w:spacing w:val="-4"/>
        </w:rPr>
        <w:t>法</w:t>
      </w:r>
      <w:r>
        <w:rPr>
          <w:spacing w:val="-4"/>
        </w:rPr>
        <w:t>，</w:t>
      </w:r>
      <w:r>
        <w:rPr>
          <w:spacing w:val="-4"/>
        </w:rPr>
        <w:t>属</w:t>
      </w:r>
      <w:r>
        <w:rPr>
          <w:spacing w:val="-4"/>
        </w:rPr>
        <w:t>于</w:t>
      </w:r>
      <w:r>
        <w:rPr>
          <w:spacing w:val="-4"/>
        </w:rPr>
        <w:t>细</w:t>
      </w:r>
      <w:r>
        <w:rPr>
          <w:spacing w:val="-4"/>
        </w:rPr>
        <w:t>胞</w:t>
      </w:r>
      <w:r>
        <w:rPr>
          <w:spacing w:val="-4"/>
        </w:rPr>
        <w:t>病</w:t>
      </w:r>
      <w:r>
        <w:rPr>
          <w:spacing w:val="-4"/>
        </w:rPr>
        <w:t>理</w:t>
      </w:r>
      <w:r>
        <w:rPr>
          <w:spacing w:val="-4"/>
        </w:rPr>
        <w:t>学</w:t>
      </w:r>
      <w:r>
        <w:rPr>
          <w:spacing w:val="-4"/>
        </w:rPr>
        <w:t>检</w:t>
      </w:r>
      <w:r>
        <w:rPr>
          <w:spacing w:val="-4"/>
        </w:rPr>
        <w:t>查</w:t>
      </w:r>
      <w:r>
        <w:rPr>
          <w:spacing w:val="-4"/>
        </w:rPr>
        <w:t>，</w:t>
      </w:r>
      <w:r>
        <w:rPr>
          <w:spacing w:val="-4"/>
        </w:rPr>
        <w:t>不</w:t>
      </w:r>
      <w:r>
        <w:rPr>
          <w:spacing w:val="-4"/>
        </w:rPr>
        <w:t>属</w:t>
      </w:r>
      <w:r>
        <w:rPr>
          <w:spacing w:val="-4"/>
        </w:rPr>
        <w:t>于</w:t>
      </w:r>
      <w:r>
        <w:rPr>
          <w:spacing w:val="-4"/>
        </w:rPr>
        <w:t>组</w:t>
      </w:r>
      <w:r>
        <w:rPr>
          <w:spacing w:val="-4"/>
        </w:rPr>
        <w:t>织</w:t>
      </w:r>
      <w:r>
        <w:rPr>
          <w:spacing w:val="-4"/>
        </w:rPr>
        <w:t>病</w:t>
      </w:r>
      <w:r>
        <w:rPr>
          <w:spacing w:val="-4"/>
        </w:rPr>
        <w:t>理</w:t>
      </w:r>
      <w:r>
        <w:rPr>
          <w:spacing w:val="-4"/>
        </w:rPr>
        <w:t>学</w:t>
      </w:r>
      <w:r>
        <w:rPr>
          <w:spacing w:val="-4"/>
        </w:rPr>
        <w:t>检</w:t>
      </w:r>
      <w:r>
        <w:rPr>
          <w:spacing w:val="-4"/>
        </w:rPr>
        <w:t>查</w:t>
      </w:r>
      <w:r>
        <w:rPr>
          <w:spacing w:val="-4"/>
        </w:rPr>
        <w:t>。</w:t>
      </w:r>
    </w:p>
    <w:p>
      <w:pPr>
        <w:spacing w:line="279" w:lineRule="exact" w:before="0"/>
        <w:ind w:left="238" w:right="0" w:firstLine="0"/>
        <w:jc w:val="both"/>
        <w:rPr>
          <w:b/>
          <w:sz w:val="22"/>
        </w:rPr>
      </w:pPr>
      <w:r>
        <w:rPr>
          <w:b/>
          <w:w w:val="95"/>
          <w:sz w:val="22"/>
        </w:rPr>
        <w:t>三、ICD-10</w:t>
      </w:r>
      <w:r>
        <w:rPr>
          <w:b/>
          <w:spacing w:val="-6"/>
          <w:w w:val="95"/>
          <w:sz w:val="22"/>
        </w:rPr>
        <w:t> 与 </w:t>
      </w:r>
      <w:r>
        <w:rPr>
          <w:b/>
          <w:w w:val="95"/>
          <w:sz w:val="22"/>
        </w:rPr>
        <w:t>ICD-O-</w:t>
      </w:r>
      <w:r>
        <w:rPr>
          <w:b/>
          <w:spacing w:val="-10"/>
          <w:w w:val="95"/>
          <w:sz w:val="22"/>
        </w:rPr>
        <w:t>3</w:t>
      </w:r>
    </w:p>
    <w:p>
      <w:pPr>
        <w:spacing w:line="266" w:lineRule="auto" w:before="29"/>
        <w:ind w:left="238" w:right="1440" w:firstLine="0"/>
        <w:jc w:val="left"/>
        <w:rPr>
          <w:sz w:val="22"/>
        </w:rPr>
      </w:pPr>
      <w:r>
        <w:rPr>
          <w:spacing w:val="-12"/>
          <w:sz w:val="22"/>
        </w:rPr>
        <w:t>《疾病和有关健康问题的国际统计分类》第十次修订版</w:t>
      </w:r>
      <w:r>
        <w:rPr>
          <w:spacing w:val="-2"/>
          <w:sz w:val="22"/>
        </w:rPr>
        <w:t>（ICD-</w:t>
      </w:r>
      <w:r>
        <w:rPr>
          <w:sz w:val="22"/>
        </w:rPr>
        <w:t>10</w:t>
      </w:r>
      <w:r>
        <w:rPr>
          <w:spacing w:val="-113"/>
          <w:sz w:val="22"/>
        </w:rPr>
        <w:t>）</w:t>
      </w:r>
      <w:r>
        <w:rPr>
          <w:spacing w:val="-27"/>
          <w:sz w:val="22"/>
        </w:rPr>
        <w:t>，是世界卫生组织</w:t>
      </w:r>
      <w:r>
        <w:rPr>
          <w:spacing w:val="-2"/>
          <w:sz w:val="22"/>
        </w:rPr>
        <w:t>（WHO）</w:t>
      </w:r>
      <w:r>
        <w:rPr>
          <w:spacing w:val="-10"/>
          <w:sz w:val="22"/>
        </w:rPr>
        <w:t>发布的国际通用的疾病分类方法。《国际疾病分类肿瘤学专辑》第三版</w:t>
      </w:r>
      <w:r>
        <w:rPr>
          <w:spacing w:val="-2"/>
          <w:sz w:val="22"/>
        </w:rPr>
        <w:t>（ICD-O-</w:t>
      </w:r>
      <w:r>
        <w:rPr>
          <w:spacing w:val="36"/>
          <w:sz w:val="22"/>
        </w:rPr>
        <w:t>3</w:t>
      </w:r>
      <w:r>
        <w:rPr>
          <w:spacing w:val="-75"/>
          <w:sz w:val="22"/>
        </w:rPr>
        <w:t>）</w:t>
      </w:r>
      <w:r>
        <w:rPr>
          <w:spacing w:val="15"/>
          <w:sz w:val="22"/>
        </w:rPr>
        <w:t>，是</w:t>
      </w:r>
      <w:r>
        <w:rPr>
          <w:spacing w:val="-2"/>
          <w:sz w:val="22"/>
        </w:rPr>
        <w:t> </w:t>
      </w:r>
      <w:r>
        <w:rPr>
          <w:sz w:val="22"/>
        </w:rPr>
        <w:t>WHO</w:t>
      </w:r>
      <w:r>
        <w:rPr>
          <w:spacing w:val="-9"/>
          <w:sz w:val="22"/>
        </w:rPr>
        <w:t> 发布的针对 </w:t>
      </w:r>
      <w:r>
        <w:rPr>
          <w:sz w:val="22"/>
        </w:rPr>
        <w:t>ICD</w:t>
      </w:r>
      <w:r>
        <w:rPr>
          <w:spacing w:val="-6"/>
          <w:sz w:val="22"/>
        </w:rPr>
        <w:t> 中肿瘤形态学组织学细胞类型、动态、分化程度的补充编码。其中</w:t>
      </w:r>
      <w:r>
        <w:rPr>
          <w:sz w:val="22"/>
        </w:rPr>
        <w:t>形态学编码：0</w:t>
      </w:r>
      <w:r>
        <w:rPr>
          <w:spacing w:val="-6"/>
          <w:sz w:val="22"/>
        </w:rPr>
        <w:t> 代表良性肿瘤</w:t>
      </w:r>
      <w:r>
        <w:rPr>
          <w:sz w:val="22"/>
        </w:rPr>
        <w:t>；1</w:t>
      </w:r>
      <w:r>
        <w:rPr>
          <w:spacing w:val="-6"/>
          <w:sz w:val="22"/>
        </w:rPr>
        <w:t> 代表动态未定性肿瘤</w:t>
      </w:r>
      <w:r>
        <w:rPr>
          <w:sz w:val="22"/>
        </w:rPr>
        <w:t>；2</w:t>
      </w:r>
      <w:r>
        <w:rPr>
          <w:spacing w:val="-6"/>
          <w:sz w:val="22"/>
        </w:rPr>
        <w:t> 代表原位癌和非侵袭性癌</w:t>
      </w:r>
      <w:r>
        <w:rPr>
          <w:sz w:val="22"/>
        </w:rPr>
        <w:t>；3</w:t>
      </w:r>
      <w:r>
        <w:rPr>
          <w:spacing w:val="-2"/>
          <w:sz w:val="22"/>
        </w:rPr>
        <w:t>代表恶性肿瘤（原发性</w:t>
      </w:r>
      <w:r>
        <w:rPr>
          <w:spacing w:val="-78"/>
          <w:sz w:val="22"/>
        </w:rPr>
        <w:t>）</w:t>
      </w:r>
      <w:r>
        <w:rPr>
          <w:spacing w:val="35"/>
          <w:sz w:val="22"/>
        </w:rPr>
        <w:t>；6</w:t>
      </w:r>
      <w:r>
        <w:rPr>
          <w:spacing w:val="-11"/>
          <w:sz w:val="22"/>
        </w:rPr>
        <w:t> 代表恶性肿瘤</w:t>
      </w:r>
      <w:r>
        <w:rPr>
          <w:spacing w:val="-2"/>
          <w:sz w:val="22"/>
        </w:rPr>
        <w:t>（转移性</w:t>
      </w:r>
      <w:r>
        <w:rPr>
          <w:spacing w:val="-76"/>
          <w:sz w:val="22"/>
        </w:rPr>
        <w:t>）</w:t>
      </w:r>
      <w:r>
        <w:rPr>
          <w:spacing w:val="35"/>
          <w:sz w:val="22"/>
        </w:rPr>
        <w:t>；9</w:t>
      </w:r>
      <w:r>
        <w:rPr>
          <w:spacing w:val="-11"/>
          <w:sz w:val="22"/>
        </w:rPr>
        <w:t> 代表恶性肿瘤</w:t>
      </w:r>
      <w:r>
        <w:rPr>
          <w:spacing w:val="-2"/>
          <w:sz w:val="22"/>
        </w:rPr>
        <w:t>（原发性或转移</w:t>
      </w:r>
      <w:r>
        <w:rPr>
          <w:sz w:val="22"/>
        </w:rPr>
        <w:t>性未肯定</w:t>
      </w:r>
      <w:r>
        <w:rPr>
          <w:spacing w:val="-113"/>
          <w:sz w:val="22"/>
        </w:rPr>
        <w:t>）</w:t>
      </w:r>
      <w:r>
        <w:rPr>
          <w:spacing w:val="-5"/>
          <w:sz w:val="22"/>
        </w:rPr>
        <w:t>。如果出现 </w:t>
      </w:r>
      <w:r>
        <w:rPr>
          <w:sz w:val="22"/>
        </w:rPr>
        <w:t>ICD-10</w:t>
      </w:r>
      <w:r>
        <w:rPr>
          <w:spacing w:val="-20"/>
          <w:sz w:val="22"/>
        </w:rPr>
        <w:t> 与 </w:t>
      </w:r>
      <w:r>
        <w:rPr>
          <w:sz w:val="22"/>
        </w:rPr>
        <w:t>ICD-O-3</w:t>
      </w:r>
      <w:r>
        <w:rPr>
          <w:spacing w:val="-9"/>
          <w:sz w:val="22"/>
        </w:rPr>
        <w:t> 不一致的情况，以 </w:t>
      </w:r>
      <w:r>
        <w:rPr>
          <w:sz w:val="22"/>
        </w:rPr>
        <w:t>ICD-O-3</w:t>
      </w:r>
      <w:r>
        <w:rPr>
          <w:spacing w:val="-8"/>
          <w:sz w:val="22"/>
        </w:rPr>
        <w:t> 为准。</w:t>
      </w:r>
    </w:p>
    <w:p>
      <w:pPr>
        <w:pStyle w:val="Heading3"/>
        <w:spacing w:line="277" w:lineRule="exact"/>
        <w:jc w:val="both"/>
      </w:pPr>
      <w:r>
        <w:rPr>
          <w:w w:val="95"/>
        </w:rPr>
        <w:t>四、TNM</w:t>
      </w:r>
      <w:r>
        <w:rPr>
          <w:spacing w:val="-10"/>
          <w:w w:val="95"/>
        </w:rPr>
        <w:t> </w:t>
      </w:r>
      <w:r>
        <w:rPr>
          <w:w w:val="95"/>
        </w:rPr>
        <w:t>分</w:t>
      </w:r>
      <w:r>
        <w:rPr>
          <w:spacing w:val="-10"/>
          <w:w w:val="95"/>
        </w:rPr>
        <w:t>期</w:t>
      </w:r>
    </w:p>
    <w:p>
      <w:pPr>
        <w:spacing w:line="266" w:lineRule="auto" w:before="30"/>
        <w:ind w:left="238" w:right="1553" w:firstLine="0"/>
        <w:jc w:val="both"/>
        <w:rPr>
          <w:sz w:val="22"/>
        </w:rPr>
      </w:pPr>
      <w:r>
        <w:rPr>
          <w:w w:val="95"/>
          <w:sz w:val="22"/>
        </w:rPr>
        <w:t>TNM 分期</w:t>
      </w:r>
      <w:r>
        <w:rPr>
          <w:w w:val="95"/>
          <w:sz w:val="22"/>
        </w:rPr>
        <w:t>采</w:t>
      </w:r>
      <w:r>
        <w:rPr>
          <w:w w:val="95"/>
          <w:sz w:val="22"/>
        </w:rPr>
        <w:t>用</w:t>
      </w:r>
      <w:r>
        <w:rPr>
          <w:w w:val="95"/>
          <w:sz w:val="22"/>
        </w:rPr>
        <w:t> AJCC 癌症</w:t>
      </w:r>
      <w:r>
        <w:rPr>
          <w:w w:val="95"/>
          <w:sz w:val="22"/>
        </w:rPr>
        <w:t>分</w:t>
      </w:r>
      <w:r>
        <w:rPr>
          <w:w w:val="95"/>
          <w:sz w:val="22"/>
        </w:rPr>
        <w:t>期</w:t>
      </w:r>
      <w:r>
        <w:rPr>
          <w:w w:val="95"/>
          <w:sz w:val="22"/>
        </w:rPr>
        <w:t>手</w:t>
      </w:r>
      <w:r>
        <w:rPr>
          <w:w w:val="95"/>
          <w:sz w:val="22"/>
        </w:rPr>
        <w:t>册</w:t>
      </w:r>
      <w:r>
        <w:rPr>
          <w:w w:val="95"/>
          <w:sz w:val="22"/>
        </w:rPr>
        <w:t>标</w:t>
      </w:r>
      <w:r>
        <w:rPr>
          <w:w w:val="95"/>
          <w:sz w:val="22"/>
        </w:rPr>
        <w:t>准</w:t>
      </w:r>
      <w:r>
        <w:rPr>
          <w:spacing w:val="-106"/>
          <w:w w:val="95"/>
          <w:sz w:val="22"/>
        </w:rPr>
        <w:t>。</w:t>
      </w:r>
      <w:r>
        <w:rPr>
          <w:w w:val="95"/>
          <w:sz w:val="22"/>
        </w:rPr>
        <w:t>该</w:t>
      </w:r>
      <w:r>
        <w:rPr>
          <w:w w:val="95"/>
          <w:sz w:val="22"/>
        </w:rPr>
        <w:t>标</w:t>
      </w:r>
      <w:r>
        <w:rPr>
          <w:w w:val="95"/>
          <w:sz w:val="22"/>
        </w:rPr>
        <w:t>准</w:t>
      </w:r>
      <w:r>
        <w:rPr>
          <w:w w:val="95"/>
          <w:sz w:val="22"/>
        </w:rPr>
        <w:t>由</w:t>
      </w:r>
      <w:r>
        <w:rPr>
          <w:w w:val="95"/>
          <w:sz w:val="22"/>
        </w:rPr>
        <w:t>美</w:t>
      </w:r>
      <w:r>
        <w:rPr>
          <w:w w:val="95"/>
          <w:sz w:val="22"/>
        </w:rPr>
        <w:t>国</w:t>
      </w:r>
      <w:r>
        <w:rPr>
          <w:w w:val="95"/>
          <w:sz w:val="22"/>
        </w:rPr>
        <w:t>癌</w:t>
      </w:r>
      <w:r>
        <w:rPr>
          <w:w w:val="95"/>
          <w:sz w:val="22"/>
        </w:rPr>
        <w:t>症</w:t>
      </w:r>
      <w:r>
        <w:rPr>
          <w:w w:val="95"/>
          <w:sz w:val="22"/>
        </w:rPr>
        <w:t>联</w:t>
      </w:r>
      <w:r>
        <w:rPr>
          <w:w w:val="95"/>
          <w:sz w:val="22"/>
        </w:rPr>
        <w:t>合</w:t>
      </w:r>
      <w:r>
        <w:rPr>
          <w:w w:val="95"/>
          <w:sz w:val="22"/>
        </w:rPr>
        <w:t>委</w:t>
      </w:r>
      <w:r>
        <w:rPr>
          <w:w w:val="95"/>
          <w:sz w:val="22"/>
        </w:rPr>
        <w:t>员</w:t>
      </w:r>
      <w:r>
        <w:rPr>
          <w:w w:val="95"/>
          <w:sz w:val="22"/>
        </w:rPr>
        <w:t>会</w:t>
      </w:r>
      <w:r>
        <w:rPr>
          <w:w w:val="95"/>
          <w:sz w:val="22"/>
        </w:rPr>
        <w:t>与</w:t>
      </w:r>
      <w:r>
        <w:rPr>
          <w:w w:val="95"/>
          <w:sz w:val="22"/>
        </w:rPr>
        <w:t>国</w:t>
      </w:r>
      <w:r>
        <w:rPr>
          <w:w w:val="95"/>
          <w:sz w:val="22"/>
        </w:rPr>
        <w:t>际</w:t>
      </w:r>
      <w:r>
        <w:rPr>
          <w:w w:val="95"/>
          <w:sz w:val="22"/>
        </w:rPr>
        <w:t>抗</w:t>
      </w:r>
      <w:r>
        <w:rPr>
          <w:w w:val="95"/>
          <w:sz w:val="22"/>
        </w:rPr>
        <w:t>癌</w:t>
      </w:r>
      <w:r>
        <w:rPr>
          <w:w w:val="95"/>
          <w:sz w:val="22"/>
        </w:rPr>
        <w:t>联合会 </w:t>
      </w:r>
      <w:r>
        <w:rPr>
          <w:sz w:val="22"/>
        </w:rPr>
        <w:t>TNM</w:t>
      </w:r>
      <w:r>
        <w:rPr>
          <w:spacing w:val="-6"/>
          <w:sz w:val="22"/>
        </w:rPr>
        <w:t> 委员会联合制定，是目前肿瘤医学分期的国际通用标准。</w:t>
      </w:r>
      <w:r>
        <w:rPr>
          <w:sz w:val="22"/>
        </w:rPr>
        <w:t>T</w:t>
      </w:r>
      <w:r>
        <w:rPr>
          <w:spacing w:val="-6"/>
          <w:sz w:val="22"/>
        </w:rPr>
        <w:t> 指原发肿瘤的大小、形</w:t>
      </w:r>
      <w:r>
        <w:rPr>
          <w:sz w:val="22"/>
        </w:rPr>
        <w:t>态等；N</w:t>
      </w:r>
      <w:r>
        <w:rPr>
          <w:spacing w:val="-6"/>
          <w:sz w:val="22"/>
        </w:rPr>
        <w:t> 指淋巴结的转移情况</w:t>
      </w:r>
      <w:r>
        <w:rPr>
          <w:sz w:val="22"/>
        </w:rPr>
        <w:t>；M</w:t>
      </w:r>
      <w:r>
        <w:rPr>
          <w:spacing w:val="-6"/>
          <w:sz w:val="22"/>
        </w:rPr>
        <w:t> 指有无其他脏器的转移情况。</w:t>
      </w:r>
    </w:p>
    <w:p>
      <w:pPr>
        <w:pStyle w:val="Heading3"/>
        <w:spacing w:line="279" w:lineRule="exact"/>
        <w:jc w:val="both"/>
      </w:pPr>
      <w:r>
        <w:rPr>
          <w:w w:val="95"/>
        </w:rPr>
        <w:t>五、</w:t>
      </w:r>
      <w:r>
        <w:rPr>
          <w:w w:val="95"/>
        </w:rPr>
        <w:t>甲</w:t>
      </w:r>
      <w:r>
        <w:rPr>
          <w:w w:val="95"/>
        </w:rPr>
        <w:t>状</w:t>
      </w:r>
      <w:r>
        <w:rPr>
          <w:w w:val="95"/>
        </w:rPr>
        <w:t>腺</w:t>
      </w:r>
      <w:r>
        <w:rPr>
          <w:w w:val="95"/>
        </w:rPr>
        <w:t>癌</w:t>
      </w:r>
      <w:r>
        <w:rPr>
          <w:w w:val="95"/>
        </w:rPr>
        <w:t>的</w:t>
      </w:r>
      <w:r>
        <w:rPr>
          <w:spacing w:val="-8"/>
          <w:w w:val="95"/>
        </w:rPr>
        <w:t> </w:t>
      </w:r>
      <w:r>
        <w:rPr>
          <w:w w:val="95"/>
        </w:rPr>
        <w:t>TNM</w:t>
      </w:r>
      <w:r>
        <w:rPr>
          <w:spacing w:val="-8"/>
          <w:w w:val="95"/>
        </w:rPr>
        <w:t> </w:t>
      </w:r>
      <w:r>
        <w:rPr>
          <w:w w:val="95"/>
        </w:rPr>
        <w:t>分</w:t>
      </w:r>
      <w:r>
        <w:rPr>
          <w:spacing w:val="-10"/>
          <w:w w:val="95"/>
        </w:rPr>
        <w:t>期</w:t>
      </w:r>
    </w:p>
    <w:p>
      <w:pPr>
        <w:spacing w:line="266" w:lineRule="auto" w:before="30"/>
        <w:ind w:left="238" w:right="1614" w:firstLine="0"/>
        <w:jc w:val="left"/>
        <w:rPr>
          <w:sz w:val="22"/>
        </w:rPr>
      </w:pPr>
      <w:r>
        <w:rPr>
          <w:spacing w:val="-10"/>
          <w:sz w:val="22"/>
        </w:rPr>
        <w:t>甲状腺癌的 </w:t>
      </w:r>
      <w:r>
        <w:rPr>
          <w:sz w:val="22"/>
        </w:rPr>
        <w:t>TNM</w:t>
      </w:r>
      <w:r>
        <w:rPr>
          <w:spacing w:val="-13"/>
          <w:sz w:val="22"/>
        </w:rPr>
        <w:t> 分期采用目前现行的 </w:t>
      </w:r>
      <w:r>
        <w:rPr>
          <w:sz w:val="22"/>
        </w:rPr>
        <w:t>AJCC</w:t>
      </w:r>
      <w:r>
        <w:rPr>
          <w:spacing w:val="-8"/>
          <w:sz w:val="22"/>
        </w:rPr>
        <w:t> 第八版定义标准，我国国家卫生健康委员会</w:t>
      </w:r>
      <w:r>
        <w:rPr>
          <w:sz w:val="22"/>
        </w:rPr>
        <w:t> 2018</w:t>
      </w:r>
      <w:r>
        <w:rPr>
          <w:spacing w:val="-5"/>
          <w:sz w:val="22"/>
        </w:rPr>
        <w:t> 年发布的《甲状腺癌诊疗规范</w:t>
      </w:r>
      <w:r>
        <w:rPr>
          <w:sz w:val="22"/>
        </w:rPr>
        <w:t>（2018</w:t>
      </w:r>
      <w:r>
        <w:rPr>
          <w:spacing w:val="-8"/>
          <w:sz w:val="22"/>
        </w:rPr>
        <w:t> 年版</w:t>
      </w:r>
      <w:r>
        <w:rPr>
          <w:spacing w:val="-113"/>
          <w:sz w:val="22"/>
        </w:rPr>
        <w:t>）</w:t>
      </w:r>
      <w:r>
        <w:rPr>
          <w:sz w:val="22"/>
        </w:rPr>
        <w:t>》也采用此定义标准，具体见下：</w:t>
      </w:r>
      <w:r>
        <w:rPr>
          <w:sz w:val="22"/>
        </w:rPr>
        <w:t> 甲状腺乳头状癌、滤泡癌、低分化癌、Hürthle</w:t>
      </w:r>
      <w:r>
        <w:rPr>
          <w:spacing w:val="-7"/>
          <w:sz w:val="22"/>
        </w:rPr>
        <w:t> 细胞癌和未分化癌</w:t>
      </w:r>
    </w:p>
    <w:p>
      <w:pPr>
        <w:spacing w:line="266" w:lineRule="auto" w:before="0"/>
        <w:ind w:left="238" w:right="7608" w:firstLine="0"/>
        <w:jc w:val="left"/>
        <w:rPr>
          <w:sz w:val="22"/>
        </w:rPr>
      </w:pPr>
      <w:r>
        <w:rPr>
          <w:spacing w:val="-2"/>
          <w:position w:val="1"/>
          <w:sz w:val="22"/>
        </w:rPr>
        <w:t>pT</w:t>
      </w:r>
      <w:r>
        <w:rPr>
          <w:spacing w:val="-2"/>
          <w:sz w:val="11"/>
        </w:rPr>
        <w:t>X</w:t>
      </w:r>
      <w:r>
        <w:rPr>
          <w:spacing w:val="-2"/>
          <w:position w:val="1"/>
          <w:sz w:val="22"/>
        </w:rPr>
        <w:t>：原发肿瘤不能评估 pT</w:t>
      </w:r>
      <w:r>
        <w:rPr>
          <w:spacing w:val="-2"/>
          <w:sz w:val="11"/>
        </w:rPr>
        <w:t>0</w:t>
      </w:r>
      <w:r>
        <w:rPr>
          <w:spacing w:val="-2"/>
          <w:position w:val="1"/>
          <w:sz w:val="22"/>
        </w:rPr>
        <w:t>：无肿瘤证据</w:t>
      </w:r>
    </w:p>
    <w:p>
      <w:pPr>
        <w:spacing w:line="266" w:lineRule="auto" w:before="0"/>
        <w:ind w:left="238" w:right="5821" w:firstLine="0"/>
        <w:jc w:val="left"/>
        <w:rPr>
          <w:sz w:val="22"/>
        </w:rPr>
      </w:pPr>
      <w:r>
        <w:rPr>
          <w:spacing w:val="-2"/>
          <w:position w:val="1"/>
          <w:sz w:val="22"/>
        </w:rPr>
        <w:t>pT</w:t>
      </w:r>
      <w:r>
        <w:rPr>
          <w:spacing w:val="-2"/>
          <w:sz w:val="11"/>
        </w:rPr>
        <w:t>1</w:t>
      </w:r>
      <w:r>
        <w:rPr>
          <w:spacing w:val="-2"/>
          <w:position w:val="1"/>
          <w:sz w:val="22"/>
        </w:rPr>
        <w:t>：肿瘤局限在甲状腺内，最大径</w:t>
      </w:r>
      <w:r>
        <w:rPr>
          <w:spacing w:val="-2"/>
          <w:position w:val="1"/>
          <w:sz w:val="22"/>
        </w:rPr>
        <w:t>≤2cm </w:t>
      </w:r>
      <w:r>
        <w:rPr>
          <w:position w:val="1"/>
          <w:sz w:val="22"/>
        </w:rPr>
        <w:t>T</w:t>
      </w:r>
      <w:r>
        <w:rPr>
          <w:sz w:val="11"/>
        </w:rPr>
        <w:t>1a</w:t>
      </w:r>
      <w:r>
        <w:rPr>
          <w:spacing w:val="-29"/>
          <w:sz w:val="11"/>
        </w:rPr>
        <w:t> </w:t>
      </w:r>
      <w:r>
        <w:rPr>
          <w:position w:val="1"/>
          <w:sz w:val="22"/>
        </w:rPr>
        <w:t>肿瘤最大径≤1cm</w:t>
      </w:r>
    </w:p>
    <w:p>
      <w:pPr>
        <w:spacing w:line="266" w:lineRule="auto" w:before="0"/>
        <w:ind w:left="238" w:right="7173" w:firstLine="0"/>
        <w:jc w:val="left"/>
        <w:rPr>
          <w:sz w:val="22"/>
        </w:rPr>
      </w:pPr>
      <w:r>
        <w:rPr>
          <w:spacing w:val="-2"/>
          <w:position w:val="1"/>
          <w:sz w:val="22"/>
        </w:rPr>
        <w:t>T</w:t>
      </w:r>
      <w:r>
        <w:rPr>
          <w:spacing w:val="-2"/>
          <w:sz w:val="11"/>
        </w:rPr>
        <w:t>1b</w:t>
      </w:r>
      <w:r>
        <w:rPr>
          <w:spacing w:val="-29"/>
          <w:sz w:val="11"/>
        </w:rPr>
        <w:t> </w:t>
      </w:r>
      <w:r>
        <w:rPr>
          <w:spacing w:val="-2"/>
          <w:position w:val="1"/>
          <w:sz w:val="22"/>
        </w:rPr>
        <w:t>肿瘤最大径</w:t>
      </w:r>
      <w:r>
        <w:rPr>
          <w:spacing w:val="-2"/>
          <w:position w:val="1"/>
          <w:sz w:val="22"/>
        </w:rPr>
        <w:t>＞1cm，≤2cm </w:t>
      </w:r>
      <w:r>
        <w:rPr>
          <w:position w:val="1"/>
          <w:sz w:val="22"/>
        </w:rPr>
        <w:t>pT</w:t>
      </w:r>
      <w:r>
        <w:rPr>
          <w:sz w:val="11"/>
        </w:rPr>
        <w:t>2</w:t>
      </w:r>
      <w:r>
        <w:rPr>
          <w:position w:val="1"/>
          <w:sz w:val="22"/>
        </w:rPr>
        <w:t>：肿瘤 2～4cm</w:t>
      </w:r>
    </w:p>
    <w:p>
      <w:pPr>
        <w:spacing w:line="280" w:lineRule="exact" w:before="0"/>
        <w:ind w:left="238" w:right="0" w:firstLine="0"/>
        <w:jc w:val="left"/>
        <w:rPr>
          <w:sz w:val="22"/>
        </w:rPr>
      </w:pPr>
      <w:r>
        <w:rPr>
          <w:spacing w:val="-2"/>
          <w:position w:val="1"/>
          <w:sz w:val="22"/>
        </w:rPr>
        <w:t>pT</w:t>
      </w:r>
      <w:r>
        <w:rPr>
          <w:spacing w:val="-2"/>
          <w:sz w:val="11"/>
        </w:rPr>
        <w:t>3</w:t>
      </w:r>
      <w:r>
        <w:rPr>
          <w:spacing w:val="-2"/>
          <w:position w:val="1"/>
          <w:sz w:val="22"/>
        </w:rPr>
        <w:t>：肿瘤&gt;4cm</w:t>
      </w:r>
      <w:r>
        <w:rPr>
          <w:spacing w:val="-3"/>
          <w:position w:val="1"/>
          <w:sz w:val="22"/>
        </w:rPr>
        <w:t>，局限于甲状腺内或大体侵犯甲状腺外带状肌</w:t>
      </w:r>
    </w:p>
    <w:p>
      <w:pPr>
        <w:spacing w:after="0" w:line="280" w:lineRule="exact"/>
        <w:jc w:val="left"/>
        <w:rPr>
          <w:sz w:val="22"/>
        </w:rPr>
        <w:sectPr>
          <w:type w:val="continuous"/>
          <w:pgSz w:w="11910" w:h="16840"/>
          <w:pgMar w:header="0" w:footer="1005" w:top="240" w:bottom="1200" w:left="1560" w:right="240"/>
        </w:sectPr>
      </w:pPr>
    </w:p>
    <w:p>
      <w:pPr>
        <w:spacing w:before="56"/>
        <w:ind w:left="238" w:right="0" w:firstLine="0"/>
        <w:jc w:val="left"/>
        <w:rPr>
          <w:sz w:val="22"/>
        </w:rPr>
      </w:pPr>
      <w:r>
        <w:rPr>
          <w:spacing w:val="-2"/>
          <w:position w:val="1"/>
          <w:sz w:val="22"/>
        </w:rPr>
        <w:t>pT</w:t>
      </w:r>
      <w:r>
        <w:rPr>
          <w:spacing w:val="-2"/>
          <w:sz w:val="11"/>
        </w:rPr>
        <w:t>3a</w:t>
      </w:r>
      <w:r>
        <w:rPr>
          <w:spacing w:val="-2"/>
          <w:position w:val="1"/>
          <w:sz w:val="22"/>
        </w:rPr>
        <w:t>：肿瘤&gt;4cm</w:t>
      </w:r>
      <w:r>
        <w:rPr>
          <w:spacing w:val="-4"/>
          <w:position w:val="1"/>
          <w:sz w:val="22"/>
        </w:rPr>
        <w:t>，局限于甲状腺内</w:t>
      </w:r>
    </w:p>
    <w:p>
      <w:pPr>
        <w:spacing w:before="31"/>
        <w:ind w:left="238" w:right="0" w:firstLine="0"/>
        <w:jc w:val="left"/>
        <w:rPr>
          <w:sz w:val="22"/>
        </w:rPr>
      </w:pPr>
      <w:r>
        <w:rPr>
          <w:spacing w:val="-2"/>
          <w:position w:val="1"/>
          <w:sz w:val="22"/>
        </w:rPr>
        <w:t>pT</w:t>
      </w:r>
      <w:r>
        <w:rPr>
          <w:spacing w:val="-2"/>
          <w:sz w:val="11"/>
        </w:rPr>
        <w:t>3b</w:t>
      </w:r>
      <w:r>
        <w:rPr>
          <w:spacing w:val="-3"/>
          <w:position w:val="1"/>
          <w:sz w:val="22"/>
        </w:rPr>
        <w:t>：大体侵犯甲状腺外带状肌，无论肿瘤大小</w:t>
      </w:r>
    </w:p>
    <w:p>
      <w:pPr>
        <w:spacing w:line="266" w:lineRule="auto" w:before="30"/>
        <w:ind w:left="238" w:right="3484" w:firstLine="0"/>
        <w:jc w:val="left"/>
        <w:rPr>
          <w:sz w:val="22"/>
        </w:rPr>
      </w:pPr>
      <w:r>
        <w:rPr>
          <w:spacing w:val="-2"/>
          <w:sz w:val="22"/>
        </w:rPr>
        <w:t>带状肌包括：胸骨舌骨肌、胸骨甲状肌、甲状舌骨肌、肩胛舌骨肌 </w:t>
      </w:r>
      <w:r>
        <w:rPr>
          <w:spacing w:val="-2"/>
          <w:position w:val="1"/>
          <w:sz w:val="22"/>
        </w:rPr>
        <w:t>pT</w:t>
      </w:r>
      <w:r>
        <w:rPr>
          <w:spacing w:val="-2"/>
          <w:sz w:val="11"/>
        </w:rPr>
        <w:t>4</w:t>
      </w:r>
      <w:r>
        <w:rPr>
          <w:spacing w:val="-2"/>
          <w:position w:val="1"/>
          <w:sz w:val="22"/>
        </w:rPr>
        <w:t>：大体侵犯甲状腺外带状肌外</w:t>
      </w:r>
    </w:p>
    <w:p>
      <w:pPr>
        <w:spacing w:line="266" w:lineRule="auto" w:before="0"/>
        <w:ind w:left="238" w:right="4915" w:firstLine="0"/>
        <w:jc w:val="left"/>
        <w:rPr>
          <w:sz w:val="22"/>
        </w:rPr>
      </w:pPr>
      <w:r>
        <w:rPr>
          <w:spacing w:val="-2"/>
          <w:position w:val="1"/>
          <w:sz w:val="22"/>
        </w:rPr>
        <w:t>pT</w:t>
      </w:r>
      <w:r>
        <w:rPr>
          <w:spacing w:val="-2"/>
          <w:sz w:val="11"/>
        </w:rPr>
        <w:t>4a</w:t>
      </w:r>
      <w:r>
        <w:rPr>
          <w:spacing w:val="-2"/>
          <w:position w:val="1"/>
          <w:sz w:val="22"/>
        </w:rPr>
        <w:t>：侵犯喉、气管、食管、喉反神经及皮下软组织 pT</w:t>
      </w:r>
      <w:r>
        <w:rPr>
          <w:spacing w:val="-2"/>
          <w:sz w:val="11"/>
        </w:rPr>
        <w:t>4b</w:t>
      </w:r>
      <w:r>
        <w:rPr>
          <w:spacing w:val="-2"/>
          <w:position w:val="1"/>
          <w:sz w:val="22"/>
        </w:rPr>
        <w:t>：侵犯椎前筋膜，或包裹颈动脉、纵隔血管</w:t>
      </w:r>
    </w:p>
    <w:p>
      <w:pPr>
        <w:spacing w:line="266" w:lineRule="auto" w:before="0"/>
        <w:ind w:left="238" w:right="7608" w:firstLine="0"/>
        <w:jc w:val="left"/>
        <w:rPr>
          <w:sz w:val="22"/>
        </w:rPr>
      </w:pPr>
      <w:r>
        <w:rPr>
          <w:spacing w:val="-2"/>
          <w:sz w:val="22"/>
        </w:rPr>
        <w:t>甲状腺髓样癌</w:t>
      </w:r>
      <w:r>
        <w:rPr>
          <w:spacing w:val="80"/>
          <w:sz w:val="22"/>
        </w:rPr>
        <w:t>   </w:t>
      </w:r>
      <w:r>
        <w:rPr>
          <w:spacing w:val="-2"/>
          <w:position w:val="1"/>
          <w:sz w:val="22"/>
        </w:rPr>
        <w:t>pT</w:t>
      </w:r>
      <w:r>
        <w:rPr>
          <w:spacing w:val="-2"/>
          <w:sz w:val="11"/>
        </w:rPr>
        <w:t>X</w:t>
      </w:r>
      <w:r>
        <w:rPr>
          <w:spacing w:val="-2"/>
          <w:position w:val="1"/>
          <w:sz w:val="22"/>
        </w:rPr>
        <w:t>：原发肿瘤不能评估 pT</w:t>
      </w:r>
      <w:r>
        <w:rPr>
          <w:spacing w:val="-2"/>
          <w:sz w:val="11"/>
        </w:rPr>
        <w:t>0</w:t>
      </w:r>
      <w:r>
        <w:rPr>
          <w:spacing w:val="-2"/>
          <w:position w:val="1"/>
          <w:sz w:val="22"/>
        </w:rPr>
        <w:t>：无肿瘤证据</w:t>
      </w:r>
    </w:p>
    <w:p>
      <w:pPr>
        <w:spacing w:line="266" w:lineRule="auto" w:before="0"/>
        <w:ind w:left="238" w:right="5821" w:firstLine="0"/>
        <w:jc w:val="left"/>
        <w:rPr>
          <w:sz w:val="22"/>
        </w:rPr>
      </w:pPr>
      <w:r>
        <w:rPr>
          <w:spacing w:val="-2"/>
          <w:position w:val="1"/>
          <w:sz w:val="22"/>
        </w:rPr>
        <w:t>pT</w:t>
      </w:r>
      <w:r>
        <w:rPr>
          <w:spacing w:val="-2"/>
          <w:sz w:val="11"/>
        </w:rPr>
        <w:t>1</w:t>
      </w:r>
      <w:r>
        <w:rPr>
          <w:spacing w:val="-2"/>
          <w:position w:val="1"/>
          <w:sz w:val="22"/>
        </w:rPr>
        <w:t>：肿瘤局限在甲状腺内，最大径</w:t>
      </w:r>
      <w:r>
        <w:rPr>
          <w:spacing w:val="-2"/>
          <w:position w:val="1"/>
          <w:sz w:val="22"/>
        </w:rPr>
        <w:t>≤2cm </w:t>
      </w:r>
      <w:r>
        <w:rPr>
          <w:position w:val="1"/>
          <w:sz w:val="22"/>
        </w:rPr>
        <w:t>T</w:t>
      </w:r>
      <w:r>
        <w:rPr>
          <w:sz w:val="11"/>
        </w:rPr>
        <w:t>1a</w:t>
      </w:r>
      <w:r>
        <w:rPr>
          <w:spacing w:val="-29"/>
          <w:sz w:val="11"/>
        </w:rPr>
        <w:t> </w:t>
      </w:r>
      <w:r>
        <w:rPr>
          <w:position w:val="1"/>
          <w:sz w:val="22"/>
        </w:rPr>
        <w:t>肿瘤最大径≤1cm</w:t>
      </w:r>
    </w:p>
    <w:p>
      <w:pPr>
        <w:spacing w:line="266" w:lineRule="auto" w:before="0"/>
        <w:ind w:left="238" w:right="7173" w:firstLine="0"/>
        <w:jc w:val="left"/>
        <w:rPr>
          <w:sz w:val="22"/>
        </w:rPr>
      </w:pPr>
      <w:r>
        <w:rPr>
          <w:spacing w:val="-2"/>
          <w:position w:val="1"/>
          <w:sz w:val="22"/>
        </w:rPr>
        <w:t>T</w:t>
      </w:r>
      <w:r>
        <w:rPr>
          <w:spacing w:val="-2"/>
          <w:sz w:val="11"/>
        </w:rPr>
        <w:t>1b</w:t>
      </w:r>
      <w:r>
        <w:rPr>
          <w:spacing w:val="-29"/>
          <w:sz w:val="11"/>
        </w:rPr>
        <w:t> </w:t>
      </w:r>
      <w:r>
        <w:rPr>
          <w:spacing w:val="-2"/>
          <w:position w:val="1"/>
          <w:sz w:val="22"/>
        </w:rPr>
        <w:t>肿瘤最大径</w:t>
      </w:r>
      <w:r>
        <w:rPr>
          <w:spacing w:val="-2"/>
          <w:position w:val="1"/>
          <w:sz w:val="22"/>
        </w:rPr>
        <w:t>＞1cm，≤2cm </w:t>
      </w:r>
      <w:r>
        <w:rPr>
          <w:position w:val="1"/>
          <w:sz w:val="22"/>
        </w:rPr>
        <w:t>pT</w:t>
      </w:r>
      <w:r>
        <w:rPr>
          <w:sz w:val="11"/>
        </w:rPr>
        <w:t>2</w:t>
      </w:r>
      <w:r>
        <w:rPr>
          <w:position w:val="1"/>
          <w:sz w:val="22"/>
        </w:rPr>
        <w:t>：肿瘤 2～4cm</w:t>
      </w:r>
    </w:p>
    <w:p>
      <w:pPr>
        <w:spacing w:line="266" w:lineRule="auto" w:before="0"/>
        <w:ind w:left="238" w:right="4089" w:firstLine="0"/>
        <w:jc w:val="left"/>
        <w:rPr>
          <w:sz w:val="22"/>
        </w:rPr>
      </w:pPr>
      <w:r>
        <w:rPr>
          <w:spacing w:val="-2"/>
          <w:position w:val="1"/>
          <w:sz w:val="22"/>
        </w:rPr>
        <w:t>pT</w:t>
      </w:r>
      <w:r>
        <w:rPr>
          <w:spacing w:val="-2"/>
          <w:sz w:val="11"/>
        </w:rPr>
        <w:t>3</w:t>
      </w:r>
      <w:r>
        <w:rPr>
          <w:spacing w:val="-2"/>
          <w:position w:val="1"/>
          <w:sz w:val="22"/>
        </w:rPr>
        <w:t>：肿瘤&gt;4cm，局限于甲状腺内或大体侵犯甲状腺外带状肌 pT</w:t>
      </w:r>
      <w:r>
        <w:rPr>
          <w:spacing w:val="-2"/>
          <w:sz w:val="11"/>
        </w:rPr>
        <w:t>3a</w:t>
      </w:r>
      <w:r>
        <w:rPr>
          <w:spacing w:val="-2"/>
          <w:position w:val="1"/>
          <w:sz w:val="22"/>
        </w:rPr>
        <w:t>：肿瘤&gt;4cm，局限于甲状腺内</w:t>
      </w:r>
    </w:p>
    <w:p>
      <w:pPr>
        <w:spacing w:line="280" w:lineRule="exact" w:before="0"/>
        <w:ind w:left="238" w:right="0" w:firstLine="0"/>
        <w:jc w:val="left"/>
        <w:rPr>
          <w:sz w:val="22"/>
        </w:rPr>
      </w:pPr>
      <w:r>
        <w:rPr>
          <w:spacing w:val="-2"/>
          <w:position w:val="1"/>
          <w:sz w:val="22"/>
        </w:rPr>
        <w:t>pT</w:t>
      </w:r>
      <w:r>
        <w:rPr>
          <w:spacing w:val="-2"/>
          <w:sz w:val="11"/>
        </w:rPr>
        <w:t>3b</w:t>
      </w:r>
      <w:r>
        <w:rPr>
          <w:spacing w:val="-3"/>
          <w:position w:val="1"/>
          <w:sz w:val="22"/>
        </w:rPr>
        <w:t>：大体侵犯甲状腺外带状肌，无论肿瘤大小</w:t>
      </w:r>
    </w:p>
    <w:p>
      <w:pPr>
        <w:spacing w:line="266" w:lineRule="auto" w:before="21"/>
        <w:ind w:left="238" w:right="3484" w:firstLine="0"/>
        <w:jc w:val="left"/>
        <w:rPr>
          <w:sz w:val="22"/>
        </w:rPr>
      </w:pPr>
      <w:r>
        <w:rPr>
          <w:spacing w:val="-2"/>
          <w:sz w:val="22"/>
        </w:rPr>
        <w:t>带状肌包括：胸骨舌骨肌、胸骨甲状肌、甲状舌骨肌、肩胛舌骨肌 </w:t>
      </w:r>
      <w:r>
        <w:rPr>
          <w:spacing w:val="-2"/>
          <w:position w:val="1"/>
          <w:sz w:val="22"/>
        </w:rPr>
        <w:t>pT</w:t>
      </w:r>
      <w:r>
        <w:rPr>
          <w:spacing w:val="-2"/>
          <w:sz w:val="11"/>
        </w:rPr>
        <w:t>4</w:t>
      </w:r>
      <w:r>
        <w:rPr>
          <w:spacing w:val="-2"/>
          <w:position w:val="1"/>
          <w:sz w:val="22"/>
        </w:rPr>
        <w:t>：进展期病变</w:t>
      </w:r>
    </w:p>
    <w:p>
      <w:pPr>
        <w:spacing w:line="266" w:lineRule="auto" w:before="0"/>
        <w:ind w:left="238" w:right="1442" w:firstLine="0"/>
        <w:jc w:val="left"/>
        <w:rPr>
          <w:sz w:val="22"/>
        </w:rPr>
      </w:pPr>
      <w:r>
        <w:rPr>
          <w:spacing w:val="-2"/>
          <w:position w:val="1"/>
          <w:sz w:val="22"/>
        </w:rPr>
        <w:t>pT</w:t>
      </w:r>
      <w:r>
        <w:rPr>
          <w:spacing w:val="-2"/>
          <w:sz w:val="11"/>
        </w:rPr>
        <w:t>4a</w:t>
      </w:r>
      <w:r>
        <w:rPr>
          <w:spacing w:val="-2"/>
          <w:position w:val="1"/>
          <w:sz w:val="22"/>
        </w:rPr>
        <w:t>：中度进展，任何大小的肿瘤，侵犯甲状腺外颈部周围器官和软组织，如喉、气管、</w:t>
      </w:r>
      <w:r>
        <w:rPr>
          <w:spacing w:val="-2"/>
          <w:sz w:val="22"/>
        </w:rPr>
        <w:t>食管、喉反神经及皮下软组织</w:t>
      </w:r>
    </w:p>
    <w:p>
      <w:pPr>
        <w:spacing w:line="266" w:lineRule="auto" w:before="0"/>
        <w:ind w:left="238" w:right="2496" w:firstLine="0"/>
        <w:jc w:val="left"/>
        <w:rPr>
          <w:sz w:val="22"/>
        </w:rPr>
      </w:pPr>
      <w:r>
        <w:rPr>
          <w:spacing w:val="-2"/>
          <w:position w:val="1"/>
          <w:sz w:val="22"/>
        </w:rPr>
        <w:t>pT</w:t>
      </w:r>
      <w:r>
        <w:rPr>
          <w:spacing w:val="-2"/>
          <w:sz w:val="11"/>
        </w:rPr>
        <w:t>4b</w:t>
      </w:r>
      <w:r>
        <w:rPr>
          <w:spacing w:val="-2"/>
          <w:position w:val="1"/>
          <w:sz w:val="22"/>
        </w:rPr>
        <w:t>：重度进展，任何大小的肿瘤，侵犯椎前筋膜，或包裹颈动脉、纵隔血管</w:t>
      </w:r>
      <w:r>
        <w:rPr>
          <w:spacing w:val="-2"/>
          <w:sz w:val="22"/>
        </w:rPr>
        <w:t>区域淋巴结：适用于所有甲状腺癌</w:t>
      </w:r>
    </w:p>
    <w:p>
      <w:pPr>
        <w:spacing w:line="266" w:lineRule="auto" w:before="0"/>
        <w:ind w:left="238" w:right="7281" w:firstLine="0"/>
        <w:jc w:val="left"/>
        <w:rPr>
          <w:sz w:val="22"/>
        </w:rPr>
      </w:pPr>
      <w:r>
        <w:rPr>
          <w:position w:val="1"/>
          <w:sz w:val="22"/>
        </w:rPr>
        <w:t>pN</w:t>
      </w:r>
      <w:r>
        <w:rPr>
          <w:sz w:val="11"/>
        </w:rPr>
        <w:t>x</w:t>
      </w:r>
      <w:r>
        <w:rPr>
          <w:spacing w:val="-6"/>
          <w:position w:val="1"/>
          <w:sz w:val="22"/>
        </w:rPr>
        <w:t>： 区域淋巴结无法评估</w:t>
      </w:r>
      <w:r>
        <w:rPr>
          <w:position w:val="1"/>
          <w:sz w:val="22"/>
        </w:rPr>
        <w:t> </w:t>
      </w:r>
      <w:r>
        <w:rPr>
          <w:spacing w:val="-2"/>
          <w:position w:val="1"/>
          <w:sz w:val="22"/>
        </w:rPr>
        <w:t>pN</w:t>
      </w:r>
      <w:r>
        <w:rPr>
          <w:spacing w:val="-2"/>
          <w:sz w:val="11"/>
        </w:rPr>
        <w:t>0</w:t>
      </w:r>
      <w:r>
        <w:rPr>
          <w:spacing w:val="-2"/>
          <w:position w:val="1"/>
          <w:sz w:val="22"/>
        </w:rPr>
        <w:t>：无淋巴结转移证据</w:t>
      </w:r>
      <w:r>
        <w:rPr>
          <w:spacing w:val="-2"/>
          <w:position w:val="1"/>
          <w:sz w:val="22"/>
        </w:rPr>
        <w:t> pN</w:t>
      </w:r>
      <w:r>
        <w:rPr>
          <w:spacing w:val="-2"/>
          <w:sz w:val="11"/>
        </w:rPr>
        <w:t>1</w:t>
      </w:r>
      <w:r>
        <w:rPr>
          <w:spacing w:val="-2"/>
          <w:position w:val="1"/>
          <w:sz w:val="22"/>
        </w:rPr>
        <w:t>：区域淋巴结转移</w:t>
      </w:r>
    </w:p>
    <w:p>
      <w:pPr>
        <w:spacing w:line="266" w:lineRule="auto" w:before="0"/>
        <w:ind w:left="238" w:right="1614" w:firstLine="0"/>
        <w:jc w:val="left"/>
        <w:rPr>
          <w:sz w:val="22"/>
        </w:rPr>
      </w:pPr>
      <w:r>
        <w:rPr>
          <w:position w:val="1"/>
          <w:sz w:val="22"/>
        </w:rPr>
        <w:t>pN</w:t>
      </w:r>
      <w:r>
        <w:rPr>
          <w:sz w:val="11"/>
        </w:rPr>
        <w:t>1a</w:t>
      </w:r>
      <w:r>
        <w:rPr>
          <w:position w:val="1"/>
          <w:sz w:val="22"/>
        </w:rPr>
        <w:t>：转移至Ⅵ、Ⅶ区（包括气管旁、气管前、喉前/Delphian</w:t>
      </w:r>
      <w:r>
        <w:rPr>
          <w:spacing w:val="-7"/>
          <w:position w:val="1"/>
          <w:sz w:val="22"/>
        </w:rPr>
        <w:t> 或上纵隔</w:t>
      </w:r>
      <w:r>
        <w:rPr>
          <w:position w:val="1"/>
          <w:sz w:val="22"/>
        </w:rPr>
        <w:t>）淋巴结，可</w:t>
      </w:r>
      <w:r>
        <w:rPr>
          <w:spacing w:val="-2"/>
          <w:sz w:val="22"/>
        </w:rPr>
        <w:t>以为单侧或双侧。</w:t>
      </w:r>
    </w:p>
    <w:p>
      <w:pPr>
        <w:spacing w:line="266" w:lineRule="auto" w:before="0"/>
        <w:ind w:left="238" w:right="1614" w:firstLine="0"/>
        <w:jc w:val="left"/>
        <w:rPr>
          <w:sz w:val="22"/>
        </w:rPr>
      </w:pPr>
      <w:r>
        <w:rPr>
          <w:spacing w:val="-2"/>
          <w:position w:val="1"/>
          <w:sz w:val="22"/>
        </w:rPr>
        <w:t>pN</w:t>
      </w:r>
      <w:r>
        <w:rPr>
          <w:spacing w:val="-2"/>
          <w:sz w:val="11"/>
        </w:rPr>
        <w:t>1b</w:t>
      </w:r>
      <w:r>
        <w:rPr>
          <w:spacing w:val="-2"/>
          <w:position w:val="1"/>
          <w:sz w:val="22"/>
        </w:rPr>
        <w:t>：单侧、双侧或对侧颈淋巴结转移（包括Ⅰ、Ⅱ、Ⅲ、Ⅳ或Ⅴ区）淋巴结或咽后淋</w:t>
      </w:r>
      <w:r>
        <w:rPr>
          <w:spacing w:val="-2"/>
          <w:sz w:val="22"/>
        </w:rPr>
        <w:t>巴结转移。</w:t>
      </w:r>
    </w:p>
    <w:p>
      <w:pPr>
        <w:spacing w:line="266" w:lineRule="auto" w:before="0"/>
        <w:ind w:left="238" w:right="6672" w:firstLine="0"/>
        <w:jc w:val="left"/>
        <w:rPr>
          <w:sz w:val="22"/>
        </w:rPr>
      </w:pPr>
      <w:r>
        <w:rPr>
          <w:spacing w:val="-5"/>
          <w:sz w:val="22"/>
        </w:rPr>
        <w:t>远处转移： 适用于所有甲状腺癌</w:t>
      </w:r>
      <w:r>
        <w:rPr>
          <w:sz w:val="22"/>
        </w:rPr>
        <w:t> </w:t>
      </w:r>
      <w:r>
        <w:rPr>
          <w:spacing w:val="-2"/>
          <w:position w:val="1"/>
          <w:sz w:val="22"/>
        </w:rPr>
        <w:t>M</w:t>
      </w:r>
      <w:r>
        <w:rPr>
          <w:spacing w:val="-2"/>
          <w:sz w:val="11"/>
        </w:rPr>
        <w:t>0</w:t>
      </w:r>
      <w:r>
        <w:rPr>
          <w:spacing w:val="-2"/>
          <w:position w:val="1"/>
          <w:sz w:val="22"/>
        </w:rPr>
        <w:t>：无远处转移</w:t>
      </w:r>
    </w:p>
    <w:p>
      <w:pPr>
        <w:spacing w:line="280" w:lineRule="exact" w:before="0" w:after="5"/>
        <w:ind w:left="238" w:right="0" w:firstLine="0"/>
        <w:jc w:val="left"/>
        <w:rPr>
          <w:sz w:val="22"/>
        </w:rPr>
      </w:pPr>
      <w:r>
        <w:rPr>
          <w:spacing w:val="-2"/>
          <w:position w:val="1"/>
          <w:sz w:val="22"/>
        </w:rPr>
        <w:t>M</w:t>
      </w:r>
      <w:r>
        <w:rPr>
          <w:spacing w:val="-2"/>
          <w:sz w:val="11"/>
        </w:rPr>
        <w:t>1</w:t>
      </w:r>
      <w:r>
        <w:rPr>
          <w:spacing w:val="-4"/>
          <w:position w:val="1"/>
          <w:sz w:val="22"/>
        </w:rPr>
        <w:t>：有远处转移</w:t>
      </w:r>
    </w:p>
    <w:tbl>
      <w:tblPr>
        <w:tblW w:w="0" w:type="auto"/>
        <w:jc w:val="left"/>
        <w:tblInd w:w="14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2329"/>
        <w:gridCol w:w="2096"/>
        <w:gridCol w:w="2159"/>
        <w:gridCol w:w="1948"/>
      </w:tblGrid>
      <w:tr>
        <w:trPr>
          <w:trHeight w:val="311" w:hRule="atLeast"/>
        </w:trPr>
        <w:tc>
          <w:tcPr>
            <w:tcW w:w="8532" w:type="dxa"/>
            <w:gridSpan w:val="4"/>
            <w:tcBorders>
              <w:bottom w:val="single" w:sz="4" w:space="0" w:color="000000"/>
            </w:tcBorders>
          </w:tcPr>
          <w:p>
            <w:pPr>
              <w:pStyle w:val="TableParagraph"/>
              <w:spacing w:line="277" w:lineRule="exact" w:before="14"/>
              <w:rPr>
                <w:sz w:val="22"/>
              </w:rPr>
            </w:pPr>
            <w:r>
              <w:rPr>
                <w:spacing w:val="-2"/>
                <w:sz w:val="22"/>
              </w:rPr>
              <w:t>乳头状或滤泡状癌（分化型</w:t>
            </w:r>
            <w:r>
              <w:rPr>
                <w:spacing w:val="-10"/>
                <w:sz w:val="22"/>
              </w:rPr>
              <w:t>）</w:t>
            </w:r>
          </w:p>
        </w:tc>
      </w:tr>
      <w:tr>
        <w:trPr>
          <w:trHeight w:val="313" w:hRule="atLeast"/>
        </w:trPr>
        <w:tc>
          <w:tcPr>
            <w:tcW w:w="8532" w:type="dxa"/>
            <w:gridSpan w:val="4"/>
            <w:tcBorders>
              <w:top w:val="single" w:sz="4" w:space="0" w:color="000000"/>
              <w:bottom w:val="single" w:sz="4" w:space="0" w:color="000000"/>
            </w:tcBorders>
          </w:tcPr>
          <w:p>
            <w:pPr>
              <w:pStyle w:val="TableParagraph"/>
              <w:spacing w:line="277" w:lineRule="exact" w:before="17"/>
              <w:rPr>
                <w:sz w:val="22"/>
              </w:rPr>
            </w:pPr>
            <w:r>
              <w:rPr>
                <w:sz w:val="22"/>
              </w:rPr>
              <w:t>年龄＜55</w:t>
            </w:r>
            <w:r>
              <w:rPr>
                <w:spacing w:val="-7"/>
                <w:sz w:val="22"/>
              </w:rPr>
              <w:t> 岁</w:t>
            </w:r>
          </w:p>
        </w:tc>
      </w:tr>
      <w:tr>
        <w:trPr>
          <w:trHeight w:val="311" w:hRule="atLeast"/>
        </w:trPr>
        <w:tc>
          <w:tcPr>
            <w:tcW w:w="2329" w:type="dxa"/>
            <w:tcBorders>
              <w:top w:val="single" w:sz="4" w:space="0" w:color="000000"/>
              <w:bottom w:val="single" w:sz="4" w:space="0" w:color="000000"/>
              <w:right w:val="single" w:sz="4" w:space="0" w:color="000000"/>
            </w:tcBorders>
          </w:tcPr>
          <w:p>
            <w:pPr>
              <w:pStyle w:val="TableParagraph"/>
              <w:spacing w:before="0"/>
              <w:ind w:left="0"/>
              <w:rPr>
                <w:rFonts w:ascii="Times New Roman"/>
                <w:sz w:val="20"/>
              </w:rPr>
            </w:pPr>
          </w:p>
        </w:tc>
        <w:tc>
          <w:tcPr>
            <w:tcW w:w="2096" w:type="dxa"/>
            <w:tcBorders>
              <w:top w:val="single" w:sz="4" w:space="0" w:color="000000"/>
              <w:left w:val="single" w:sz="4" w:space="0" w:color="000000"/>
              <w:bottom w:val="single" w:sz="4" w:space="0" w:color="000000"/>
              <w:right w:val="single" w:sz="4" w:space="0" w:color="000000"/>
            </w:tcBorders>
          </w:tcPr>
          <w:p>
            <w:pPr>
              <w:pStyle w:val="TableParagraph"/>
              <w:spacing w:line="277" w:lineRule="exact" w:before="15"/>
              <w:ind w:left="116"/>
              <w:rPr>
                <w:sz w:val="22"/>
              </w:rPr>
            </w:pPr>
            <w:r>
              <w:rPr>
                <w:w w:val="100"/>
                <w:sz w:val="22"/>
              </w:rPr>
              <w:t>T</w:t>
            </w:r>
          </w:p>
        </w:tc>
        <w:tc>
          <w:tcPr>
            <w:tcW w:w="2159" w:type="dxa"/>
            <w:tcBorders>
              <w:top w:val="single" w:sz="4" w:space="0" w:color="000000"/>
              <w:left w:val="single" w:sz="4" w:space="0" w:color="000000"/>
              <w:bottom w:val="single" w:sz="4" w:space="0" w:color="000000"/>
              <w:right w:val="single" w:sz="4" w:space="0" w:color="000000"/>
            </w:tcBorders>
          </w:tcPr>
          <w:p>
            <w:pPr>
              <w:pStyle w:val="TableParagraph"/>
              <w:spacing w:line="277" w:lineRule="exact" w:before="15"/>
              <w:ind w:left="113"/>
              <w:rPr>
                <w:sz w:val="22"/>
              </w:rPr>
            </w:pPr>
            <w:r>
              <w:rPr>
                <w:w w:val="100"/>
                <w:sz w:val="22"/>
              </w:rPr>
              <w:t>N</w:t>
            </w:r>
          </w:p>
        </w:tc>
        <w:tc>
          <w:tcPr>
            <w:tcW w:w="1948" w:type="dxa"/>
            <w:tcBorders>
              <w:top w:val="single" w:sz="4" w:space="0" w:color="000000"/>
              <w:left w:val="single" w:sz="4" w:space="0" w:color="000000"/>
              <w:bottom w:val="single" w:sz="4" w:space="0" w:color="000000"/>
            </w:tcBorders>
          </w:tcPr>
          <w:p>
            <w:pPr>
              <w:pStyle w:val="TableParagraph"/>
              <w:spacing w:line="277" w:lineRule="exact" w:before="15"/>
              <w:ind w:left="102"/>
              <w:rPr>
                <w:sz w:val="22"/>
              </w:rPr>
            </w:pPr>
            <w:r>
              <w:rPr>
                <w:w w:val="100"/>
                <w:sz w:val="22"/>
              </w:rPr>
              <w:t>M</w:t>
            </w:r>
          </w:p>
        </w:tc>
      </w:tr>
      <w:tr>
        <w:trPr>
          <w:trHeight w:val="311" w:hRule="atLeast"/>
        </w:trPr>
        <w:tc>
          <w:tcPr>
            <w:tcW w:w="2329" w:type="dxa"/>
            <w:tcBorders>
              <w:top w:val="single" w:sz="4" w:space="0" w:color="000000"/>
              <w:bottom w:val="single" w:sz="4" w:space="0" w:color="000000"/>
              <w:right w:val="single" w:sz="4" w:space="0" w:color="000000"/>
            </w:tcBorders>
          </w:tcPr>
          <w:p>
            <w:pPr>
              <w:pStyle w:val="TableParagraph"/>
              <w:spacing w:line="277" w:lineRule="exact" w:before="15"/>
              <w:rPr>
                <w:sz w:val="22"/>
              </w:rPr>
            </w:pPr>
            <w:r>
              <w:rPr>
                <w:spacing w:val="-6"/>
                <w:sz w:val="22"/>
              </w:rPr>
              <w:t>Ⅰ期</w:t>
            </w:r>
          </w:p>
        </w:tc>
        <w:tc>
          <w:tcPr>
            <w:tcW w:w="2096" w:type="dxa"/>
            <w:tcBorders>
              <w:top w:val="single" w:sz="4" w:space="0" w:color="000000"/>
              <w:left w:val="single" w:sz="4" w:space="0" w:color="000000"/>
              <w:bottom w:val="single" w:sz="4" w:space="0" w:color="000000"/>
              <w:right w:val="single" w:sz="4" w:space="0" w:color="000000"/>
            </w:tcBorders>
          </w:tcPr>
          <w:p>
            <w:pPr>
              <w:pStyle w:val="TableParagraph"/>
              <w:spacing w:line="277" w:lineRule="exact" w:before="15"/>
              <w:ind w:left="116"/>
              <w:rPr>
                <w:sz w:val="22"/>
              </w:rPr>
            </w:pPr>
            <w:r>
              <w:rPr>
                <w:spacing w:val="-5"/>
                <w:sz w:val="22"/>
              </w:rPr>
              <w:t>任何</w:t>
            </w:r>
          </w:p>
        </w:tc>
        <w:tc>
          <w:tcPr>
            <w:tcW w:w="2159" w:type="dxa"/>
            <w:tcBorders>
              <w:top w:val="single" w:sz="4" w:space="0" w:color="000000"/>
              <w:left w:val="single" w:sz="4" w:space="0" w:color="000000"/>
              <w:bottom w:val="single" w:sz="4" w:space="0" w:color="000000"/>
              <w:right w:val="single" w:sz="4" w:space="0" w:color="000000"/>
            </w:tcBorders>
          </w:tcPr>
          <w:p>
            <w:pPr>
              <w:pStyle w:val="TableParagraph"/>
              <w:spacing w:line="277" w:lineRule="exact" w:before="15"/>
              <w:ind w:left="113"/>
              <w:rPr>
                <w:sz w:val="22"/>
              </w:rPr>
            </w:pPr>
            <w:r>
              <w:rPr>
                <w:spacing w:val="-5"/>
                <w:sz w:val="22"/>
              </w:rPr>
              <w:t>任何</w:t>
            </w:r>
          </w:p>
        </w:tc>
        <w:tc>
          <w:tcPr>
            <w:tcW w:w="1948" w:type="dxa"/>
            <w:tcBorders>
              <w:top w:val="single" w:sz="4" w:space="0" w:color="000000"/>
              <w:left w:val="single" w:sz="4" w:space="0" w:color="000000"/>
              <w:bottom w:val="single" w:sz="4" w:space="0" w:color="000000"/>
            </w:tcBorders>
          </w:tcPr>
          <w:p>
            <w:pPr>
              <w:pStyle w:val="TableParagraph"/>
              <w:spacing w:line="277" w:lineRule="exact" w:before="15"/>
              <w:ind w:left="102"/>
              <w:rPr>
                <w:sz w:val="22"/>
              </w:rPr>
            </w:pPr>
            <w:r>
              <w:rPr>
                <w:w w:val="100"/>
                <w:sz w:val="22"/>
              </w:rPr>
              <w:t>0</w:t>
            </w:r>
          </w:p>
        </w:tc>
      </w:tr>
      <w:tr>
        <w:trPr>
          <w:trHeight w:val="311" w:hRule="atLeast"/>
        </w:trPr>
        <w:tc>
          <w:tcPr>
            <w:tcW w:w="2329" w:type="dxa"/>
            <w:tcBorders>
              <w:top w:val="single" w:sz="4" w:space="0" w:color="000000"/>
              <w:bottom w:val="single" w:sz="4" w:space="0" w:color="000000"/>
              <w:right w:val="single" w:sz="4" w:space="0" w:color="000000"/>
            </w:tcBorders>
          </w:tcPr>
          <w:p>
            <w:pPr>
              <w:pStyle w:val="TableParagraph"/>
              <w:spacing w:line="277" w:lineRule="exact" w:before="15"/>
              <w:rPr>
                <w:sz w:val="22"/>
              </w:rPr>
            </w:pPr>
            <w:r>
              <w:rPr>
                <w:spacing w:val="-6"/>
                <w:sz w:val="22"/>
              </w:rPr>
              <w:t>Ⅱ期</w:t>
            </w:r>
          </w:p>
        </w:tc>
        <w:tc>
          <w:tcPr>
            <w:tcW w:w="2096" w:type="dxa"/>
            <w:tcBorders>
              <w:top w:val="single" w:sz="4" w:space="0" w:color="000000"/>
              <w:left w:val="single" w:sz="4" w:space="0" w:color="000000"/>
              <w:bottom w:val="single" w:sz="4" w:space="0" w:color="000000"/>
              <w:right w:val="single" w:sz="4" w:space="0" w:color="000000"/>
            </w:tcBorders>
          </w:tcPr>
          <w:p>
            <w:pPr>
              <w:pStyle w:val="TableParagraph"/>
              <w:spacing w:line="277" w:lineRule="exact" w:before="15"/>
              <w:ind w:left="116"/>
              <w:rPr>
                <w:sz w:val="22"/>
              </w:rPr>
            </w:pPr>
            <w:r>
              <w:rPr>
                <w:spacing w:val="-5"/>
                <w:sz w:val="22"/>
              </w:rPr>
              <w:t>任何</w:t>
            </w:r>
          </w:p>
        </w:tc>
        <w:tc>
          <w:tcPr>
            <w:tcW w:w="2159" w:type="dxa"/>
            <w:tcBorders>
              <w:top w:val="single" w:sz="4" w:space="0" w:color="000000"/>
              <w:left w:val="single" w:sz="4" w:space="0" w:color="000000"/>
              <w:bottom w:val="single" w:sz="4" w:space="0" w:color="000000"/>
              <w:right w:val="single" w:sz="4" w:space="0" w:color="000000"/>
            </w:tcBorders>
          </w:tcPr>
          <w:p>
            <w:pPr>
              <w:pStyle w:val="TableParagraph"/>
              <w:spacing w:line="277" w:lineRule="exact" w:before="15"/>
              <w:ind w:left="113"/>
              <w:rPr>
                <w:sz w:val="22"/>
              </w:rPr>
            </w:pPr>
            <w:r>
              <w:rPr>
                <w:spacing w:val="-5"/>
                <w:sz w:val="22"/>
              </w:rPr>
              <w:t>任何</w:t>
            </w:r>
          </w:p>
        </w:tc>
        <w:tc>
          <w:tcPr>
            <w:tcW w:w="1948" w:type="dxa"/>
            <w:tcBorders>
              <w:top w:val="single" w:sz="4" w:space="0" w:color="000000"/>
              <w:left w:val="single" w:sz="4" w:space="0" w:color="000000"/>
              <w:bottom w:val="single" w:sz="4" w:space="0" w:color="000000"/>
            </w:tcBorders>
          </w:tcPr>
          <w:p>
            <w:pPr>
              <w:pStyle w:val="TableParagraph"/>
              <w:spacing w:line="277" w:lineRule="exact" w:before="15"/>
              <w:ind w:left="102"/>
              <w:rPr>
                <w:sz w:val="22"/>
              </w:rPr>
            </w:pPr>
            <w:r>
              <w:rPr>
                <w:w w:val="100"/>
                <w:sz w:val="22"/>
              </w:rPr>
              <w:t>1</w:t>
            </w:r>
          </w:p>
        </w:tc>
      </w:tr>
      <w:tr>
        <w:trPr>
          <w:trHeight w:val="312" w:hRule="atLeast"/>
        </w:trPr>
        <w:tc>
          <w:tcPr>
            <w:tcW w:w="8532" w:type="dxa"/>
            <w:gridSpan w:val="4"/>
            <w:tcBorders>
              <w:top w:val="single" w:sz="4" w:space="0" w:color="000000"/>
              <w:bottom w:val="single" w:sz="4" w:space="0" w:color="000000"/>
            </w:tcBorders>
          </w:tcPr>
          <w:p>
            <w:pPr>
              <w:pStyle w:val="TableParagraph"/>
              <w:spacing w:line="277" w:lineRule="exact" w:before="15"/>
              <w:rPr>
                <w:sz w:val="22"/>
              </w:rPr>
            </w:pPr>
            <w:r>
              <w:rPr>
                <w:sz w:val="22"/>
              </w:rPr>
              <w:t>年龄≥55</w:t>
            </w:r>
            <w:r>
              <w:rPr>
                <w:spacing w:val="-7"/>
                <w:sz w:val="22"/>
              </w:rPr>
              <w:t> 岁</w:t>
            </w:r>
          </w:p>
        </w:tc>
      </w:tr>
      <w:tr>
        <w:trPr>
          <w:trHeight w:val="311" w:hRule="atLeast"/>
        </w:trPr>
        <w:tc>
          <w:tcPr>
            <w:tcW w:w="2329" w:type="dxa"/>
            <w:vMerge w:val="restart"/>
            <w:tcBorders>
              <w:top w:val="single" w:sz="4" w:space="0" w:color="000000"/>
              <w:bottom w:val="single" w:sz="4" w:space="0" w:color="000000"/>
              <w:right w:val="single" w:sz="4" w:space="0" w:color="000000"/>
            </w:tcBorders>
          </w:tcPr>
          <w:p>
            <w:pPr>
              <w:pStyle w:val="TableParagraph"/>
              <w:spacing w:before="15"/>
              <w:rPr>
                <w:sz w:val="22"/>
              </w:rPr>
            </w:pPr>
            <w:r>
              <w:rPr>
                <w:spacing w:val="-6"/>
                <w:sz w:val="22"/>
              </w:rPr>
              <w:t>Ⅰ期</w:t>
            </w:r>
          </w:p>
        </w:tc>
        <w:tc>
          <w:tcPr>
            <w:tcW w:w="2096" w:type="dxa"/>
            <w:tcBorders>
              <w:top w:val="single" w:sz="4" w:space="0" w:color="000000"/>
              <w:left w:val="single" w:sz="4" w:space="0" w:color="000000"/>
              <w:bottom w:val="single" w:sz="4" w:space="0" w:color="000000"/>
              <w:right w:val="single" w:sz="4" w:space="0" w:color="000000"/>
            </w:tcBorders>
          </w:tcPr>
          <w:p>
            <w:pPr>
              <w:pStyle w:val="TableParagraph"/>
              <w:spacing w:line="277" w:lineRule="exact" w:before="15"/>
              <w:ind w:left="116"/>
              <w:rPr>
                <w:sz w:val="22"/>
              </w:rPr>
            </w:pPr>
            <w:r>
              <w:rPr>
                <w:w w:val="100"/>
                <w:sz w:val="22"/>
              </w:rPr>
              <w:t>1</w:t>
            </w:r>
          </w:p>
        </w:tc>
        <w:tc>
          <w:tcPr>
            <w:tcW w:w="2159" w:type="dxa"/>
            <w:tcBorders>
              <w:top w:val="single" w:sz="4" w:space="0" w:color="000000"/>
              <w:left w:val="single" w:sz="4" w:space="0" w:color="000000"/>
              <w:bottom w:val="single" w:sz="4" w:space="0" w:color="000000"/>
              <w:right w:val="single" w:sz="4" w:space="0" w:color="000000"/>
            </w:tcBorders>
          </w:tcPr>
          <w:p>
            <w:pPr>
              <w:pStyle w:val="TableParagraph"/>
              <w:spacing w:line="277" w:lineRule="exact" w:before="15"/>
              <w:ind w:left="113"/>
              <w:rPr>
                <w:sz w:val="22"/>
              </w:rPr>
            </w:pPr>
            <w:r>
              <w:rPr>
                <w:spacing w:val="-5"/>
                <w:sz w:val="22"/>
              </w:rPr>
              <w:t>0/x</w:t>
            </w:r>
          </w:p>
        </w:tc>
        <w:tc>
          <w:tcPr>
            <w:tcW w:w="1948" w:type="dxa"/>
            <w:tcBorders>
              <w:top w:val="single" w:sz="4" w:space="0" w:color="000000"/>
              <w:left w:val="single" w:sz="4" w:space="0" w:color="000000"/>
              <w:bottom w:val="single" w:sz="4" w:space="0" w:color="000000"/>
            </w:tcBorders>
          </w:tcPr>
          <w:p>
            <w:pPr>
              <w:pStyle w:val="TableParagraph"/>
              <w:spacing w:line="277" w:lineRule="exact" w:before="15"/>
              <w:ind w:left="102"/>
              <w:rPr>
                <w:sz w:val="22"/>
              </w:rPr>
            </w:pPr>
            <w:r>
              <w:rPr>
                <w:w w:val="100"/>
                <w:sz w:val="22"/>
              </w:rPr>
              <w:t>0</w:t>
            </w:r>
          </w:p>
        </w:tc>
      </w:tr>
      <w:tr>
        <w:trPr>
          <w:trHeight w:val="313" w:hRule="atLeast"/>
        </w:trPr>
        <w:tc>
          <w:tcPr>
            <w:tcW w:w="2329" w:type="dxa"/>
            <w:vMerge/>
            <w:tcBorders>
              <w:top w:val="nil"/>
              <w:bottom w:val="single" w:sz="4" w:space="0" w:color="000000"/>
              <w:right w:val="single" w:sz="4" w:space="0" w:color="000000"/>
            </w:tcBorders>
          </w:tcPr>
          <w:p>
            <w:pPr>
              <w:rPr>
                <w:sz w:val="2"/>
                <w:szCs w:val="2"/>
              </w:rPr>
            </w:pPr>
          </w:p>
        </w:tc>
        <w:tc>
          <w:tcPr>
            <w:tcW w:w="2096" w:type="dxa"/>
            <w:tcBorders>
              <w:top w:val="single" w:sz="4" w:space="0" w:color="000000"/>
              <w:left w:val="single" w:sz="4" w:space="0" w:color="000000"/>
              <w:bottom w:val="single" w:sz="4" w:space="0" w:color="000000"/>
              <w:right w:val="single" w:sz="4" w:space="0" w:color="000000"/>
            </w:tcBorders>
          </w:tcPr>
          <w:p>
            <w:pPr>
              <w:pStyle w:val="TableParagraph"/>
              <w:spacing w:line="277" w:lineRule="exact" w:before="17"/>
              <w:ind w:left="116"/>
              <w:rPr>
                <w:sz w:val="22"/>
              </w:rPr>
            </w:pPr>
            <w:r>
              <w:rPr>
                <w:w w:val="100"/>
                <w:sz w:val="22"/>
              </w:rPr>
              <w:t>2</w:t>
            </w:r>
          </w:p>
        </w:tc>
        <w:tc>
          <w:tcPr>
            <w:tcW w:w="2159" w:type="dxa"/>
            <w:tcBorders>
              <w:top w:val="single" w:sz="4" w:space="0" w:color="000000"/>
              <w:left w:val="single" w:sz="4" w:space="0" w:color="000000"/>
              <w:bottom w:val="single" w:sz="4" w:space="0" w:color="000000"/>
              <w:right w:val="single" w:sz="4" w:space="0" w:color="000000"/>
            </w:tcBorders>
          </w:tcPr>
          <w:p>
            <w:pPr>
              <w:pStyle w:val="TableParagraph"/>
              <w:spacing w:line="277" w:lineRule="exact" w:before="17"/>
              <w:ind w:left="113"/>
              <w:rPr>
                <w:sz w:val="22"/>
              </w:rPr>
            </w:pPr>
            <w:r>
              <w:rPr>
                <w:spacing w:val="-5"/>
                <w:sz w:val="22"/>
              </w:rPr>
              <w:t>0/x</w:t>
            </w:r>
          </w:p>
        </w:tc>
        <w:tc>
          <w:tcPr>
            <w:tcW w:w="1948" w:type="dxa"/>
            <w:tcBorders>
              <w:top w:val="single" w:sz="4" w:space="0" w:color="000000"/>
              <w:left w:val="single" w:sz="4" w:space="0" w:color="000000"/>
              <w:bottom w:val="single" w:sz="4" w:space="0" w:color="000000"/>
            </w:tcBorders>
          </w:tcPr>
          <w:p>
            <w:pPr>
              <w:pStyle w:val="TableParagraph"/>
              <w:spacing w:line="277" w:lineRule="exact" w:before="17"/>
              <w:ind w:left="102"/>
              <w:rPr>
                <w:sz w:val="22"/>
              </w:rPr>
            </w:pPr>
            <w:r>
              <w:rPr>
                <w:w w:val="100"/>
                <w:sz w:val="22"/>
              </w:rPr>
              <w:t>0</w:t>
            </w:r>
          </w:p>
        </w:tc>
      </w:tr>
      <w:tr>
        <w:trPr>
          <w:trHeight w:val="311" w:hRule="atLeast"/>
        </w:trPr>
        <w:tc>
          <w:tcPr>
            <w:tcW w:w="2329" w:type="dxa"/>
            <w:vMerge w:val="restart"/>
            <w:tcBorders>
              <w:top w:val="single" w:sz="4" w:space="0" w:color="000000"/>
              <w:bottom w:val="single" w:sz="4" w:space="0" w:color="000000"/>
              <w:right w:val="single" w:sz="4" w:space="0" w:color="000000"/>
            </w:tcBorders>
          </w:tcPr>
          <w:p>
            <w:pPr>
              <w:pStyle w:val="TableParagraph"/>
              <w:spacing w:before="15"/>
              <w:rPr>
                <w:sz w:val="22"/>
              </w:rPr>
            </w:pPr>
            <w:r>
              <w:rPr>
                <w:spacing w:val="-6"/>
                <w:sz w:val="22"/>
              </w:rPr>
              <w:t>Ⅱ期</w:t>
            </w:r>
          </w:p>
        </w:tc>
        <w:tc>
          <w:tcPr>
            <w:tcW w:w="2096" w:type="dxa"/>
            <w:tcBorders>
              <w:top w:val="single" w:sz="4" w:space="0" w:color="000000"/>
              <w:left w:val="single" w:sz="4" w:space="0" w:color="000000"/>
              <w:bottom w:val="single" w:sz="4" w:space="0" w:color="000000"/>
              <w:right w:val="single" w:sz="4" w:space="0" w:color="000000"/>
            </w:tcBorders>
          </w:tcPr>
          <w:p>
            <w:pPr>
              <w:pStyle w:val="TableParagraph"/>
              <w:spacing w:line="277" w:lineRule="exact" w:before="15"/>
              <w:ind w:left="116"/>
              <w:rPr>
                <w:sz w:val="22"/>
              </w:rPr>
            </w:pPr>
            <w:r>
              <w:rPr>
                <w:spacing w:val="-5"/>
                <w:sz w:val="22"/>
              </w:rPr>
              <w:t>1～2</w:t>
            </w:r>
          </w:p>
        </w:tc>
        <w:tc>
          <w:tcPr>
            <w:tcW w:w="2159" w:type="dxa"/>
            <w:tcBorders>
              <w:top w:val="single" w:sz="4" w:space="0" w:color="000000"/>
              <w:left w:val="single" w:sz="4" w:space="0" w:color="000000"/>
              <w:bottom w:val="single" w:sz="4" w:space="0" w:color="000000"/>
              <w:right w:val="single" w:sz="4" w:space="0" w:color="000000"/>
            </w:tcBorders>
          </w:tcPr>
          <w:p>
            <w:pPr>
              <w:pStyle w:val="TableParagraph"/>
              <w:spacing w:line="277" w:lineRule="exact" w:before="15"/>
              <w:ind w:left="113"/>
              <w:rPr>
                <w:sz w:val="22"/>
              </w:rPr>
            </w:pPr>
            <w:r>
              <w:rPr>
                <w:w w:val="100"/>
                <w:sz w:val="22"/>
              </w:rPr>
              <w:t>1</w:t>
            </w:r>
          </w:p>
        </w:tc>
        <w:tc>
          <w:tcPr>
            <w:tcW w:w="1948" w:type="dxa"/>
            <w:tcBorders>
              <w:top w:val="single" w:sz="4" w:space="0" w:color="000000"/>
              <w:left w:val="single" w:sz="4" w:space="0" w:color="000000"/>
              <w:bottom w:val="single" w:sz="4" w:space="0" w:color="000000"/>
            </w:tcBorders>
          </w:tcPr>
          <w:p>
            <w:pPr>
              <w:pStyle w:val="TableParagraph"/>
              <w:spacing w:line="277" w:lineRule="exact" w:before="15"/>
              <w:ind w:left="102"/>
              <w:rPr>
                <w:sz w:val="22"/>
              </w:rPr>
            </w:pPr>
            <w:r>
              <w:rPr>
                <w:w w:val="100"/>
                <w:sz w:val="22"/>
              </w:rPr>
              <w:t>0</w:t>
            </w:r>
          </w:p>
        </w:tc>
      </w:tr>
      <w:tr>
        <w:trPr>
          <w:trHeight w:val="311" w:hRule="atLeast"/>
        </w:trPr>
        <w:tc>
          <w:tcPr>
            <w:tcW w:w="2329" w:type="dxa"/>
            <w:vMerge/>
            <w:tcBorders>
              <w:top w:val="nil"/>
              <w:bottom w:val="single" w:sz="4" w:space="0" w:color="000000"/>
              <w:right w:val="single" w:sz="4" w:space="0" w:color="000000"/>
            </w:tcBorders>
          </w:tcPr>
          <w:p>
            <w:pPr>
              <w:rPr>
                <w:sz w:val="2"/>
                <w:szCs w:val="2"/>
              </w:rPr>
            </w:pPr>
          </w:p>
        </w:tc>
        <w:tc>
          <w:tcPr>
            <w:tcW w:w="2096" w:type="dxa"/>
            <w:tcBorders>
              <w:top w:val="single" w:sz="4" w:space="0" w:color="000000"/>
              <w:left w:val="single" w:sz="4" w:space="0" w:color="000000"/>
              <w:bottom w:val="single" w:sz="4" w:space="0" w:color="000000"/>
              <w:right w:val="single" w:sz="4" w:space="0" w:color="000000"/>
            </w:tcBorders>
          </w:tcPr>
          <w:p>
            <w:pPr>
              <w:pStyle w:val="TableParagraph"/>
              <w:spacing w:line="277" w:lineRule="exact" w:before="15"/>
              <w:ind w:left="116"/>
              <w:rPr>
                <w:sz w:val="22"/>
              </w:rPr>
            </w:pPr>
            <w:r>
              <w:rPr>
                <w:spacing w:val="-2"/>
                <w:sz w:val="22"/>
              </w:rPr>
              <w:t>3a～3b</w:t>
            </w:r>
          </w:p>
        </w:tc>
        <w:tc>
          <w:tcPr>
            <w:tcW w:w="2159" w:type="dxa"/>
            <w:tcBorders>
              <w:top w:val="single" w:sz="4" w:space="0" w:color="000000"/>
              <w:left w:val="single" w:sz="4" w:space="0" w:color="000000"/>
              <w:bottom w:val="single" w:sz="4" w:space="0" w:color="000000"/>
              <w:right w:val="single" w:sz="4" w:space="0" w:color="000000"/>
            </w:tcBorders>
          </w:tcPr>
          <w:p>
            <w:pPr>
              <w:pStyle w:val="TableParagraph"/>
              <w:spacing w:line="277" w:lineRule="exact" w:before="15"/>
              <w:ind w:left="113"/>
              <w:rPr>
                <w:sz w:val="22"/>
              </w:rPr>
            </w:pPr>
            <w:r>
              <w:rPr>
                <w:spacing w:val="-5"/>
                <w:sz w:val="22"/>
              </w:rPr>
              <w:t>任何</w:t>
            </w:r>
          </w:p>
        </w:tc>
        <w:tc>
          <w:tcPr>
            <w:tcW w:w="1948" w:type="dxa"/>
            <w:tcBorders>
              <w:top w:val="single" w:sz="4" w:space="0" w:color="000000"/>
              <w:left w:val="single" w:sz="4" w:space="0" w:color="000000"/>
              <w:bottom w:val="single" w:sz="4" w:space="0" w:color="000000"/>
            </w:tcBorders>
          </w:tcPr>
          <w:p>
            <w:pPr>
              <w:pStyle w:val="TableParagraph"/>
              <w:spacing w:line="277" w:lineRule="exact" w:before="15"/>
              <w:ind w:left="102"/>
              <w:rPr>
                <w:sz w:val="22"/>
              </w:rPr>
            </w:pPr>
            <w:r>
              <w:rPr>
                <w:w w:val="100"/>
                <w:sz w:val="22"/>
              </w:rPr>
              <w:t>0</w:t>
            </w:r>
          </w:p>
        </w:tc>
      </w:tr>
      <w:tr>
        <w:trPr>
          <w:trHeight w:val="311" w:hRule="atLeast"/>
        </w:trPr>
        <w:tc>
          <w:tcPr>
            <w:tcW w:w="2329" w:type="dxa"/>
            <w:tcBorders>
              <w:top w:val="single" w:sz="4" w:space="0" w:color="000000"/>
              <w:bottom w:val="single" w:sz="4" w:space="0" w:color="000000"/>
              <w:right w:val="single" w:sz="4" w:space="0" w:color="000000"/>
            </w:tcBorders>
          </w:tcPr>
          <w:p>
            <w:pPr>
              <w:pStyle w:val="TableParagraph"/>
              <w:spacing w:line="277" w:lineRule="exact" w:before="15"/>
              <w:rPr>
                <w:sz w:val="22"/>
              </w:rPr>
            </w:pPr>
            <w:r>
              <w:rPr>
                <w:spacing w:val="-6"/>
                <w:sz w:val="22"/>
              </w:rPr>
              <w:t>Ⅲ期</w:t>
            </w:r>
          </w:p>
        </w:tc>
        <w:tc>
          <w:tcPr>
            <w:tcW w:w="2096" w:type="dxa"/>
            <w:tcBorders>
              <w:top w:val="single" w:sz="4" w:space="0" w:color="000000"/>
              <w:left w:val="single" w:sz="4" w:space="0" w:color="000000"/>
              <w:bottom w:val="single" w:sz="4" w:space="0" w:color="000000"/>
              <w:right w:val="single" w:sz="4" w:space="0" w:color="000000"/>
            </w:tcBorders>
          </w:tcPr>
          <w:p>
            <w:pPr>
              <w:pStyle w:val="TableParagraph"/>
              <w:spacing w:line="277" w:lineRule="exact" w:before="15"/>
              <w:ind w:left="116"/>
              <w:rPr>
                <w:sz w:val="22"/>
              </w:rPr>
            </w:pPr>
            <w:r>
              <w:rPr>
                <w:spacing w:val="-5"/>
                <w:sz w:val="22"/>
              </w:rPr>
              <w:t>4a</w:t>
            </w:r>
          </w:p>
        </w:tc>
        <w:tc>
          <w:tcPr>
            <w:tcW w:w="2159" w:type="dxa"/>
            <w:tcBorders>
              <w:top w:val="single" w:sz="4" w:space="0" w:color="000000"/>
              <w:left w:val="single" w:sz="4" w:space="0" w:color="000000"/>
              <w:bottom w:val="single" w:sz="4" w:space="0" w:color="000000"/>
              <w:right w:val="single" w:sz="4" w:space="0" w:color="000000"/>
            </w:tcBorders>
          </w:tcPr>
          <w:p>
            <w:pPr>
              <w:pStyle w:val="TableParagraph"/>
              <w:spacing w:line="277" w:lineRule="exact" w:before="15"/>
              <w:ind w:left="113"/>
              <w:rPr>
                <w:sz w:val="22"/>
              </w:rPr>
            </w:pPr>
            <w:r>
              <w:rPr>
                <w:spacing w:val="-5"/>
                <w:sz w:val="22"/>
              </w:rPr>
              <w:t>任何</w:t>
            </w:r>
          </w:p>
        </w:tc>
        <w:tc>
          <w:tcPr>
            <w:tcW w:w="1948" w:type="dxa"/>
            <w:tcBorders>
              <w:top w:val="single" w:sz="4" w:space="0" w:color="000000"/>
              <w:left w:val="single" w:sz="4" w:space="0" w:color="000000"/>
              <w:bottom w:val="single" w:sz="4" w:space="0" w:color="000000"/>
            </w:tcBorders>
          </w:tcPr>
          <w:p>
            <w:pPr>
              <w:pStyle w:val="TableParagraph"/>
              <w:spacing w:line="277" w:lineRule="exact" w:before="15"/>
              <w:ind w:left="102"/>
              <w:rPr>
                <w:sz w:val="22"/>
              </w:rPr>
            </w:pPr>
            <w:r>
              <w:rPr>
                <w:w w:val="100"/>
                <w:sz w:val="22"/>
              </w:rPr>
              <w:t>0</w:t>
            </w:r>
          </w:p>
        </w:tc>
      </w:tr>
      <w:tr>
        <w:trPr>
          <w:trHeight w:val="311" w:hRule="atLeast"/>
        </w:trPr>
        <w:tc>
          <w:tcPr>
            <w:tcW w:w="2329" w:type="dxa"/>
            <w:tcBorders>
              <w:top w:val="single" w:sz="4" w:space="0" w:color="000000"/>
              <w:bottom w:val="single" w:sz="4" w:space="0" w:color="000000"/>
              <w:right w:val="single" w:sz="4" w:space="0" w:color="000000"/>
            </w:tcBorders>
          </w:tcPr>
          <w:p>
            <w:pPr>
              <w:pStyle w:val="TableParagraph"/>
              <w:spacing w:line="277" w:lineRule="exact" w:before="15"/>
              <w:rPr>
                <w:sz w:val="22"/>
              </w:rPr>
            </w:pPr>
            <w:r>
              <w:rPr>
                <w:sz w:val="22"/>
              </w:rPr>
              <w:t>ⅣA</w:t>
            </w:r>
            <w:r>
              <w:rPr>
                <w:spacing w:val="-5"/>
                <w:sz w:val="22"/>
              </w:rPr>
              <w:t> 期</w:t>
            </w:r>
          </w:p>
        </w:tc>
        <w:tc>
          <w:tcPr>
            <w:tcW w:w="2096" w:type="dxa"/>
            <w:tcBorders>
              <w:top w:val="single" w:sz="4" w:space="0" w:color="000000"/>
              <w:left w:val="single" w:sz="4" w:space="0" w:color="000000"/>
              <w:bottom w:val="single" w:sz="4" w:space="0" w:color="000000"/>
              <w:right w:val="single" w:sz="4" w:space="0" w:color="000000"/>
            </w:tcBorders>
          </w:tcPr>
          <w:p>
            <w:pPr>
              <w:pStyle w:val="TableParagraph"/>
              <w:spacing w:line="277" w:lineRule="exact" w:before="15"/>
              <w:ind w:left="116"/>
              <w:rPr>
                <w:sz w:val="22"/>
              </w:rPr>
            </w:pPr>
            <w:r>
              <w:rPr>
                <w:spacing w:val="-5"/>
                <w:sz w:val="22"/>
              </w:rPr>
              <w:t>4b</w:t>
            </w:r>
          </w:p>
        </w:tc>
        <w:tc>
          <w:tcPr>
            <w:tcW w:w="2159" w:type="dxa"/>
            <w:tcBorders>
              <w:top w:val="single" w:sz="4" w:space="0" w:color="000000"/>
              <w:left w:val="single" w:sz="4" w:space="0" w:color="000000"/>
              <w:bottom w:val="single" w:sz="4" w:space="0" w:color="000000"/>
              <w:right w:val="single" w:sz="4" w:space="0" w:color="000000"/>
            </w:tcBorders>
          </w:tcPr>
          <w:p>
            <w:pPr>
              <w:pStyle w:val="TableParagraph"/>
              <w:spacing w:line="277" w:lineRule="exact" w:before="15"/>
              <w:ind w:left="113"/>
              <w:rPr>
                <w:sz w:val="22"/>
              </w:rPr>
            </w:pPr>
            <w:r>
              <w:rPr>
                <w:spacing w:val="-5"/>
                <w:sz w:val="22"/>
              </w:rPr>
              <w:t>任何</w:t>
            </w:r>
          </w:p>
        </w:tc>
        <w:tc>
          <w:tcPr>
            <w:tcW w:w="1948" w:type="dxa"/>
            <w:tcBorders>
              <w:top w:val="single" w:sz="4" w:space="0" w:color="000000"/>
              <w:left w:val="single" w:sz="4" w:space="0" w:color="000000"/>
              <w:bottom w:val="single" w:sz="4" w:space="0" w:color="000000"/>
            </w:tcBorders>
          </w:tcPr>
          <w:p>
            <w:pPr>
              <w:pStyle w:val="TableParagraph"/>
              <w:spacing w:line="277" w:lineRule="exact" w:before="15"/>
              <w:ind w:left="102"/>
              <w:rPr>
                <w:sz w:val="22"/>
              </w:rPr>
            </w:pPr>
            <w:r>
              <w:rPr>
                <w:w w:val="100"/>
                <w:sz w:val="22"/>
              </w:rPr>
              <w:t>0</w:t>
            </w:r>
          </w:p>
        </w:tc>
      </w:tr>
    </w:tbl>
    <w:p>
      <w:pPr>
        <w:spacing w:after="0" w:line="277" w:lineRule="exact"/>
        <w:rPr>
          <w:sz w:val="22"/>
        </w:rPr>
        <w:sectPr>
          <w:pgSz w:w="11910" w:h="16840"/>
          <w:pgMar w:header="0" w:footer="1005" w:top="1380" w:bottom="1390" w:left="1560" w:right="240"/>
        </w:sectPr>
      </w:pPr>
    </w:p>
    <w:tbl>
      <w:tblPr>
        <w:tblW w:w="0" w:type="auto"/>
        <w:jc w:val="left"/>
        <w:tblInd w:w="1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329"/>
        <w:gridCol w:w="2096"/>
        <w:gridCol w:w="2159"/>
        <w:gridCol w:w="1948"/>
      </w:tblGrid>
      <w:tr>
        <w:trPr>
          <w:trHeight w:val="311" w:hRule="atLeast"/>
        </w:trPr>
        <w:tc>
          <w:tcPr>
            <w:tcW w:w="2329" w:type="dxa"/>
            <w:tcBorders>
              <w:left w:val="single" w:sz="12" w:space="0" w:color="000000"/>
            </w:tcBorders>
          </w:tcPr>
          <w:p>
            <w:pPr>
              <w:pStyle w:val="TableParagraph"/>
              <w:spacing w:before="7"/>
              <w:rPr>
                <w:sz w:val="22"/>
              </w:rPr>
            </w:pPr>
            <w:r>
              <w:rPr>
                <w:sz w:val="22"/>
              </w:rPr>
              <w:t>ⅣB</w:t>
            </w:r>
            <w:r>
              <w:rPr>
                <w:spacing w:val="-5"/>
                <w:sz w:val="22"/>
              </w:rPr>
              <w:t> 期</w:t>
            </w:r>
          </w:p>
        </w:tc>
        <w:tc>
          <w:tcPr>
            <w:tcW w:w="2096" w:type="dxa"/>
          </w:tcPr>
          <w:p>
            <w:pPr>
              <w:pStyle w:val="TableParagraph"/>
              <w:spacing w:before="7"/>
              <w:ind w:left="116"/>
              <w:rPr>
                <w:sz w:val="22"/>
              </w:rPr>
            </w:pPr>
            <w:r>
              <w:rPr>
                <w:spacing w:val="-5"/>
                <w:sz w:val="22"/>
              </w:rPr>
              <w:t>任何</w:t>
            </w:r>
          </w:p>
        </w:tc>
        <w:tc>
          <w:tcPr>
            <w:tcW w:w="2159" w:type="dxa"/>
          </w:tcPr>
          <w:p>
            <w:pPr>
              <w:pStyle w:val="TableParagraph"/>
              <w:spacing w:before="7"/>
              <w:ind w:left="113"/>
              <w:rPr>
                <w:sz w:val="22"/>
              </w:rPr>
            </w:pPr>
            <w:r>
              <w:rPr>
                <w:spacing w:val="-5"/>
                <w:sz w:val="22"/>
              </w:rPr>
              <w:t>任何</w:t>
            </w:r>
          </w:p>
        </w:tc>
        <w:tc>
          <w:tcPr>
            <w:tcW w:w="1948" w:type="dxa"/>
            <w:tcBorders>
              <w:right w:val="single" w:sz="12" w:space="0" w:color="000000"/>
            </w:tcBorders>
          </w:tcPr>
          <w:p>
            <w:pPr>
              <w:pStyle w:val="TableParagraph"/>
              <w:spacing w:before="7"/>
              <w:ind w:left="102"/>
              <w:rPr>
                <w:sz w:val="22"/>
              </w:rPr>
            </w:pPr>
            <w:r>
              <w:rPr>
                <w:w w:val="100"/>
                <w:sz w:val="22"/>
              </w:rPr>
              <w:t>1</w:t>
            </w:r>
          </w:p>
        </w:tc>
      </w:tr>
      <w:tr>
        <w:trPr>
          <w:trHeight w:val="312" w:hRule="atLeast"/>
        </w:trPr>
        <w:tc>
          <w:tcPr>
            <w:tcW w:w="8532" w:type="dxa"/>
            <w:gridSpan w:val="4"/>
            <w:tcBorders>
              <w:left w:val="single" w:sz="12" w:space="0" w:color="000000"/>
              <w:right w:val="single" w:sz="12" w:space="0" w:color="000000"/>
            </w:tcBorders>
          </w:tcPr>
          <w:p>
            <w:pPr>
              <w:pStyle w:val="TableParagraph"/>
              <w:spacing w:before="7"/>
              <w:rPr>
                <w:sz w:val="22"/>
              </w:rPr>
            </w:pPr>
            <w:r>
              <w:rPr>
                <w:spacing w:val="-2"/>
                <w:sz w:val="22"/>
              </w:rPr>
              <w:t>髓样癌（所有年龄组</w:t>
            </w:r>
            <w:r>
              <w:rPr>
                <w:spacing w:val="-10"/>
                <w:sz w:val="22"/>
              </w:rPr>
              <w:t>）</w:t>
            </w:r>
          </w:p>
        </w:tc>
      </w:tr>
      <w:tr>
        <w:trPr>
          <w:trHeight w:val="311" w:hRule="atLeast"/>
        </w:trPr>
        <w:tc>
          <w:tcPr>
            <w:tcW w:w="2329" w:type="dxa"/>
            <w:tcBorders>
              <w:left w:val="single" w:sz="12" w:space="0" w:color="000000"/>
            </w:tcBorders>
          </w:tcPr>
          <w:p>
            <w:pPr>
              <w:pStyle w:val="TableParagraph"/>
              <w:spacing w:before="7"/>
              <w:rPr>
                <w:sz w:val="22"/>
              </w:rPr>
            </w:pPr>
            <w:r>
              <w:rPr>
                <w:spacing w:val="-6"/>
                <w:sz w:val="22"/>
              </w:rPr>
              <w:t>Ⅰ期</w:t>
            </w:r>
          </w:p>
        </w:tc>
        <w:tc>
          <w:tcPr>
            <w:tcW w:w="2096" w:type="dxa"/>
          </w:tcPr>
          <w:p>
            <w:pPr>
              <w:pStyle w:val="TableParagraph"/>
              <w:spacing w:before="7"/>
              <w:ind w:left="116"/>
              <w:rPr>
                <w:sz w:val="22"/>
              </w:rPr>
            </w:pPr>
            <w:r>
              <w:rPr>
                <w:w w:val="100"/>
                <w:sz w:val="22"/>
              </w:rPr>
              <w:t>1</w:t>
            </w:r>
          </w:p>
        </w:tc>
        <w:tc>
          <w:tcPr>
            <w:tcW w:w="2159" w:type="dxa"/>
          </w:tcPr>
          <w:p>
            <w:pPr>
              <w:pStyle w:val="TableParagraph"/>
              <w:spacing w:before="7"/>
              <w:ind w:left="113"/>
              <w:rPr>
                <w:sz w:val="22"/>
              </w:rPr>
            </w:pPr>
            <w:r>
              <w:rPr>
                <w:w w:val="100"/>
                <w:sz w:val="22"/>
              </w:rPr>
              <w:t>0</w:t>
            </w:r>
          </w:p>
        </w:tc>
        <w:tc>
          <w:tcPr>
            <w:tcW w:w="1948" w:type="dxa"/>
            <w:tcBorders>
              <w:right w:val="single" w:sz="12" w:space="0" w:color="000000"/>
            </w:tcBorders>
          </w:tcPr>
          <w:p>
            <w:pPr>
              <w:pStyle w:val="TableParagraph"/>
              <w:spacing w:before="7"/>
              <w:ind w:left="102"/>
              <w:rPr>
                <w:sz w:val="22"/>
              </w:rPr>
            </w:pPr>
            <w:r>
              <w:rPr>
                <w:w w:val="100"/>
                <w:sz w:val="22"/>
              </w:rPr>
              <w:t>0</w:t>
            </w:r>
          </w:p>
        </w:tc>
      </w:tr>
      <w:tr>
        <w:trPr>
          <w:trHeight w:val="313" w:hRule="atLeast"/>
        </w:trPr>
        <w:tc>
          <w:tcPr>
            <w:tcW w:w="2329" w:type="dxa"/>
            <w:tcBorders>
              <w:left w:val="single" w:sz="12" w:space="0" w:color="000000"/>
            </w:tcBorders>
          </w:tcPr>
          <w:p>
            <w:pPr>
              <w:pStyle w:val="TableParagraph"/>
              <w:spacing w:before="9"/>
              <w:rPr>
                <w:sz w:val="22"/>
              </w:rPr>
            </w:pPr>
            <w:r>
              <w:rPr>
                <w:spacing w:val="-6"/>
                <w:sz w:val="22"/>
              </w:rPr>
              <w:t>Ⅱ期</w:t>
            </w:r>
          </w:p>
        </w:tc>
        <w:tc>
          <w:tcPr>
            <w:tcW w:w="2096" w:type="dxa"/>
          </w:tcPr>
          <w:p>
            <w:pPr>
              <w:pStyle w:val="TableParagraph"/>
              <w:spacing w:before="9"/>
              <w:ind w:left="116"/>
              <w:rPr>
                <w:sz w:val="22"/>
              </w:rPr>
            </w:pPr>
            <w:r>
              <w:rPr>
                <w:spacing w:val="-5"/>
                <w:sz w:val="22"/>
              </w:rPr>
              <w:t>2～3</w:t>
            </w:r>
          </w:p>
        </w:tc>
        <w:tc>
          <w:tcPr>
            <w:tcW w:w="2159" w:type="dxa"/>
          </w:tcPr>
          <w:p>
            <w:pPr>
              <w:pStyle w:val="TableParagraph"/>
              <w:spacing w:before="9"/>
              <w:ind w:left="113"/>
              <w:rPr>
                <w:sz w:val="22"/>
              </w:rPr>
            </w:pPr>
            <w:r>
              <w:rPr>
                <w:w w:val="100"/>
                <w:sz w:val="22"/>
              </w:rPr>
              <w:t>0</w:t>
            </w:r>
          </w:p>
        </w:tc>
        <w:tc>
          <w:tcPr>
            <w:tcW w:w="1948" w:type="dxa"/>
            <w:tcBorders>
              <w:right w:val="single" w:sz="12" w:space="0" w:color="000000"/>
            </w:tcBorders>
          </w:tcPr>
          <w:p>
            <w:pPr>
              <w:pStyle w:val="TableParagraph"/>
              <w:spacing w:before="9"/>
              <w:ind w:left="102"/>
              <w:rPr>
                <w:sz w:val="22"/>
              </w:rPr>
            </w:pPr>
            <w:r>
              <w:rPr>
                <w:w w:val="100"/>
                <w:sz w:val="22"/>
              </w:rPr>
              <w:t>0</w:t>
            </w:r>
          </w:p>
        </w:tc>
      </w:tr>
      <w:tr>
        <w:trPr>
          <w:trHeight w:val="311" w:hRule="atLeast"/>
        </w:trPr>
        <w:tc>
          <w:tcPr>
            <w:tcW w:w="2329" w:type="dxa"/>
            <w:tcBorders>
              <w:left w:val="single" w:sz="12" w:space="0" w:color="000000"/>
            </w:tcBorders>
          </w:tcPr>
          <w:p>
            <w:pPr>
              <w:pStyle w:val="TableParagraph"/>
              <w:spacing w:before="7"/>
              <w:rPr>
                <w:sz w:val="22"/>
              </w:rPr>
            </w:pPr>
            <w:r>
              <w:rPr>
                <w:spacing w:val="-6"/>
                <w:sz w:val="22"/>
              </w:rPr>
              <w:t>Ⅲ期</w:t>
            </w:r>
          </w:p>
        </w:tc>
        <w:tc>
          <w:tcPr>
            <w:tcW w:w="2096" w:type="dxa"/>
          </w:tcPr>
          <w:p>
            <w:pPr>
              <w:pStyle w:val="TableParagraph"/>
              <w:spacing w:before="7"/>
              <w:ind w:left="116"/>
              <w:rPr>
                <w:sz w:val="22"/>
              </w:rPr>
            </w:pPr>
            <w:r>
              <w:rPr>
                <w:spacing w:val="-5"/>
                <w:sz w:val="22"/>
              </w:rPr>
              <w:t>1～3</w:t>
            </w:r>
          </w:p>
        </w:tc>
        <w:tc>
          <w:tcPr>
            <w:tcW w:w="2159" w:type="dxa"/>
          </w:tcPr>
          <w:p>
            <w:pPr>
              <w:pStyle w:val="TableParagraph"/>
              <w:spacing w:before="7"/>
              <w:ind w:left="113"/>
              <w:rPr>
                <w:sz w:val="22"/>
              </w:rPr>
            </w:pPr>
            <w:r>
              <w:rPr>
                <w:spacing w:val="-5"/>
                <w:sz w:val="22"/>
              </w:rPr>
              <w:t>1a</w:t>
            </w:r>
          </w:p>
        </w:tc>
        <w:tc>
          <w:tcPr>
            <w:tcW w:w="1948" w:type="dxa"/>
            <w:tcBorders>
              <w:right w:val="single" w:sz="12" w:space="0" w:color="000000"/>
            </w:tcBorders>
          </w:tcPr>
          <w:p>
            <w:pPr>
              <w:pStyle w:val="TableParagraph"/>
              <w:spacing w:before="7"/>
              <w:ind w:left="102"/>
              <w:rPr>
                <w:sz w:val="22"/>
              </w:rPr>
            </w:pPr>
            <w:r>
              <w:rPr>
                <w:w w:val="100"/>
                <w:sz w:val="22"/>
              </w:rPr>
              <w:t>0</w:t>
            </w:r>
          </w:p>
        </w:tc>
      </w:tr>
      <w:tr>
        <w:trPr>
          <w:trHeight w:val="311" w:hRule="atLeast"/>
        </w:trPr>
        <w:tc>
          <w:tcPr>
            <w:tcW w:w="2329" w:type="dxa"/>
            <w:vMerge w:val="restart"/>
            <w:tcBorders>
              <w:left w:val="single" w:sz="12" w:space="0" w:color="000000"/>
            </w:tcBorders>
          </w:tcPr>
          <w:p>
            <w:pPr>
              <w:pStyle w:val="TableParagraph"/>
              <w:spacing w:before="168"/>
              <w:rPr>
                <w:sz w:val="22"/>
              </w:rPr>
            </w:pPr>
            <w:r>
              <w:rPr>
                <w:sz w:val="22"/>
              </w:rPr>
              <w:t>ⅣA</w:t>
            </w:r>
            <w:r>
              <w:rPr>
                <w:spacing w:val="-5"/>
                <w:sz w:val="22"/>
              </w:rPr>
              <w:t> 期</w:t>
            </w:r>
          </w:p>
        </w:tc>
        <w:tc>
          <w:tcPr>
            <w:tcW w:w="2096" w:type="dxa"/>
          </w:tcPr>
          <w:p>
            <w:pPr>
              <w:pStyle w:val="TableParagraph"/>
              <w:spacing w:before="7"/>
              <w:ind w:left="116"/>
              <w:rPr>
                <w:sz w:val="22"/>
              </w:rPr>
            </w:pPr>
            <w:r>
              <w:rPr>
                <w:spacing w:val="-5"/>
                <w:sz w:val="22"/>
              </w:rPr>
              <w:t>4a</w:t>
            </w:r>
          </w:p>
        </w:tc>
        <w:tc>
          <w:tcPr>
            <w:tcW w:w="2159" w:type="dxa"/>
          </w:tcPr>
          <w:p>
            <w:pPr>
              <w:pStyle w:val="TableParagraph"/>
              <w:spacing w:before="7"/>
              <w:ind w:left="113"/>
              <w:rPr>
                <w:sz w:val="22"/>
              </w:rPr>
            </w:pPr>
            <w:r>
              <w:rPr>
                <w:spacing w:val="-5"/>
                <w:sz w:val="22"/>
              </w:rPr>
              <w:t>任何</w:t>
            </w:r>
          </w:p>
        </w:tc>
        <w:tc>
          <w:tcPr>
            <w:tcW w:w="1948" w:type="dxa"/>
            <w:tcBorders>
              <w:right w:val="single" w:sz="12" w:space="0" w:color="000000"/>
            </w:tcBorders>
          </w:tcPr>
          <w:p>
            <w:pPr>
              <w:pStyle w:val="TableParagraph"/>
              <w:spacing w:before="7"/>
              <w:ind w:left="102"/>
              <w:rPr>
                <w:sz w:val="22"/>
              </w:rPr>
            </w:pPr>
            <w:r>
              <w:rPr>
                <w:w w:val="100"/>
                <w:sz w:val="22"/>
              </w:rPr>
              <w:t>0</w:t>
            </w:r>
          </w:p>
        </w:tc>
      </w:tr>
      <w:tr>
        <w:trPr>
          <w:trHeight w:val="311" w:hRule="atLeast"/>
        </w:trPr>
        <w:tc>
          <w:tcPr>
            <w:tcW w:w="2329" w:type="dxa"/>
            <w:vMerge/>
            <w:tcBorders>
              <w:top w:val="nil"/>
              <w:left w:val="single" w:sz="12" w:space="0" w:color="000000"/>
            </w:tcBorders>
          </w:tcPr>
          <w:p>
            <w:pPr>
              <w:rPr>
                <w:sz w:val="2"/>
                <w:szCs w:val="2"/>
              </w:rPr>
            </w:pPr>
          </w:p>
        </w:tc>
        <w:tc>
          <w:tcPr>
            <w:tcW w:w="2096" w:type="dxa"/>
          </w:tcPr>
          <w:p>
            <w:pPr>
              <w:pStyle w:val="TableParagraph"/>
              <w:spacing w:before="7"/>
              <w:ind w:left="116"/>
              <w:rPr>
                <w:sz w:val="22"/>
              </w:rPr>
            </w:pPr>
            <w:r>
              <w:rPr>
                <w:spacing w:val="-5"/>
                <w:sz w:val="22"/>
              </w:rPr>
              <w:t>1～3</w:t>
            </w:r>
          </w:p>
        </w:tc>
        <w:tc>
          <w:tcPr>
            <w:tcW w:w="2159" w:type="dxa"/>
          </w:tcPr>
          <w:p>
            <w:pPr>
              <w:pStyle w:val="TableParagraph"/>
              <w:spacing w:before="7"/>
              <w:ind w:left="113"/>
              <w:rPr>
                <w:sz w:val="22"/>
              </w:rPr>
            </w:pPr>
            <w:r>
              <w:rPr>
                <w:spacing w:val="-5"/>
                <w:sz w:val="22"/>
              </w:rPr>
              <w:t>1b</w:t>
            </w:r>
          </w:p>
        </w:tc>
        <w:tc>
          <w:tcPr>
            <w:tcW w:w="1948" w:type="dxa"/>
            <w:tcBorders>
              <w:right w:val="single" w:sz="12" w:space="0" w:color="000000"/>
            </w:tcBorders>
          </w:tcPr>
          <w:p>
            <w:pPr>
              <w:pStyle w:val="TableParagraph"/>
              <w:spacing w:before="7"/>
              <w:ind w:left="102"/>
              <w:rPr>
                <w:sz w:val="22"/>
              </w:rPr>
            </w:pPr>
            <w:r>
              <w:rPr>
                <w:w w:val="100"/>
                <w:sz w:val="22"/>
              </w:rPr>
              <w:t>0</w:t>
            </w:r>
          </w:p>
        </w:tc>
      </w:tr>
      <w:tr>
        <w:trPr>
          <w:trHeight w:val="311" w:hRule="atLeast"/>
        </w:trPr>
        <w:tc>
          <w:tcPr>
            <w:tcW w:w="2329" w:type="dxa"/>
            <w:tcBorders>
              <w:left w:val="single" w:sz="12" w:space="0" w:color="000000"/>
            </w:tcBorders>
          </w:tcPr>
          <w:p>
            <w:pPr>
              <w:pStyle w:val="TableParagraph"/>
              <w:spacing w:before="7"/>
              <w:rPr>
                <w:sz w:val="22"/>
              </w:rPr>
            </w:pPr>
            <w:r>
              <w:rPr>
                <w:sz w:val="22"/>
              </w:rPr>
              <w:t>ⅣB</w:t>
            </w:r>
            <w:r>
              <w:rPr>
                <w:spacing w:val="-5"/>
                <w:sz w:val="22"/>
              </w:rPr>
              <w:t> 期</w:t>
            </w:r>
          </w:p>
        </w:tc>
        <w:tc>
          <w:tcPr>
            <w:tcW w:w="2096" w:type="dxa"/>
          </w:tcPr>
          <w:p>
            <w:pPr>
              <w:pStyle w:val="TableParagraph"/>
              <w:spacing w:before="7"/>
              <w:ind w:left="116"/>
              <w:rPr>
                <w:sz w:val="22"/>
              </w:rPr>
            </w:pPr>
            <w:r>
              <w:rPr>
                <w:spacing w:val="-5"/>
                <w:sz w:val="22"/>
              </w:rPr>
              <w:t>4b</w:t>
            </w:r>
          </w:p>
        </w:tc>
        <w:tc>
          <w:tcPr>
            <w:tcW w:w="2159" w:type="dxa"/>
          </w:tcPr>
          <w:p>
            <w:pPr>
              <w:pStyle w:val="TableParagraph"/>
              <w:spacing w:before="7"/>
              <w:ind w:left="113"/>
              <w:rPr>
                <w:sz w:val="22"/>
              </w:rPr>
            </w:pPr>
            <w:r>
              <w:rPr>
                <w:spacing w:val="-5"/>
                <w:sz w:val="22"/>
              </w:rPr>
              <w:t>任何</w:t>
            </w:r>
          </w:p>
        </w:tc>
        <w:tc>
          <w:tcPr>
            <w:tcW w:w="1948" w:type="dxa"/>
            <w:tcBorders>
              <w:right w:val="single" w:sz="12" w:space="0" w:color="000000"/>
            </w:tcBorders>
          </w:tcPr>
          <w:p>
            <w:pPr>
              <w:pStyle w:val="TableParagraph"/>
              <w:spacing w:before="7"/>
              <w:ind w:left="102"/>
              <w:rPr>
                <w:sz w:val="22"/>
              </w:rPr>
            </w:pPr>
            <w:r>
              <w:rPr>
                <w:w w:val="100"/>
                <w:sz w:val="22"/>
              </w:rPr>
              <w:t>0</w:t>
            </w:r>
          </w:p>
        </w:tc>
      </w:tr>
      <w:tr>
        <w:trPr>
          <w:trHeight w:val="311" w:hRule="atLeast"/>
        </w:trPr>
        <w:tc>
          <w:tcPr>
            <w:tcW w:w="2329" w:type="dxa"/>
            <w:tcBorders>
              <w:left w:val="single" w:sz="12" w:space="0" w:color="000000"/>
            </w:tcBorders>
          </w:tcPr>
          <w:p>
            <w:pPr>
              <w:pStyle w:val="TableParagraph"/>
              <w:spacing w:before="7"/>
              <w:rPr>
                <w:sz w:val="22"/>
              </w:rPr>
            </w:pPr>
            <w:r>
              <w:rPr>
                <w:sz w:val="22"/>
              </w:rPr>
              <w:t>ⅣC</w:t>
            </w:r>
            <w:r>
              <w:rPr>
                <w:spacing w:val="-5"/>
                <w:sz w:val="22"/>
              </w:rPr>
              <w:t> 期</w:t>
            </w:r>
          </w:p>
        </w:tc>
        <w:tc>
          <w:tcPr>
            <w:tcW w:w="2096" w:type="dxa"/>
          </w:tcPr>
          <w:p>
            <w:pPr>
              <w:pStyle w:val="TableParagraph"/>
              <w:spacing w:before="7"/>
              <w:ind w:left="116"/>
              <w:rPr>
                <w:sz w:val="22"/>
              </w:rPr>
            </w:pPr>
            <w:r>
              <w:rPr>
                <w:spacing w:val="-5"/>
                <w:sz w:val="22"/>
              </w:rPr>
              <w:t>任何</w:t>
            </w:r>
          </w:p>
        </w:tc>
        <w:tc>
          <w:tcPr>
            <w:tcW w:w="2159" w:type="dxa"/>
          </w:tcPr>
          <w:p>
            <w:pPr>
              <w:pStyle w:val="TableParagraph"/>
              <w:spacing w:before="7"/>
              <w:ind w:left="113"/>
              <w:rPr>
                <w:sz w:val="22"/>
              </w:rPr>
            </w:pPr>
            <w:r>
              <w:rPr>
                <w:spacing w:val="-5"/>
                <w:sz w:val="22"/>
              </w:rPr>
              <w:t>任何</w:t>
            </w:r>
          </w:p>
        </w:tc>
        <w:tc>
          <w:tcPr>
            <w:tcW w:w="1948" w:type="dxa"/>
            <w:tcBorders>
              <w:right w:val="single" w:sz="12" w:space="0" w:color="000000"/>
            </w:tcBorders>
          </w:tcPr>
          <w:p>
            <w:pPr>
              <w:pStyle w:val="TableParagraph"/>
              <w:spacing w:before="7"/>
              <w:ind w:left="102"/>
              <w:rPr>
                <w:sz w:val="22"/>
              </w:rPr>
            </w:pPr>
            <w:r>
              <w:rPr>
                <w:w w:val="100"/>
                <w:sz w:val="22"/>
              </w:rPr>
              <w:t>1</w:t>
            </w:r>
          </w:p>
        </w:tc>
      </w:tr>
      <w:tr>
        <w:trPr>
          <w:trHeight w:val="314" w:hRule="atLeast"/>
        </w:trPr>
        <w:tc>
          <w:tcPr>
            <w:tcW w:w="8532" w:type="dxa"/>
            <w:gridSpan w:val="4"/>
            <w:tcBorders>
              <w:left w:val="single" w:sz="12" w:space="0" w:color="000000"/>
              <w:right w:val="single" w:sz="12" w:space="0" w:color="000000"/>
            </w:tcBorders>
          </w:tcPr>
          <w:p>
            <w:pPr>
              <w:pStyle w:val="TableParagraph"/>
              <w:spacing w:before="9"/>
              <w:rPr>
                <w:sz w:val="22"/>
              </w:rPr>
            </w:pPr>
            <w:r>
              <w:rPr>
                <w:spacing w:val="-2"/>
                <w:sz w:val="22"/>
              </w:rPr>
              <w:t>未分化癌（所有年龄组</w:t>
            </w:r>
            <w:r>
              <w:rPr>
                <w:spacing w:val="-10"/>
                <w:sz w:val="22"/>
              </w:rPr>
              <w:t>）</w:t>
            </w:r>
          </w:p>
        </w:tc>
      </w:tr>
      <w:tr>
        <w:trPr>
          <w:trHeight w:val="311" w:hRule="atLeast"/>
        </w:trPr>
        <w:tc>
          <w:tcPr>
            <w:tcW w:w="2329" w:type="dxa"/>
            <w:tcBorders>
              <w:left w:val="single" w:sz="12" w:space="0" w:color="000000"/>
            </w:tcBorders>
          </w:tcPr>
          <w:p>
            <w:pPr>
              <w:pStyle w:val="TableParagraph"/>
              <w:spacing w:before="7"/>
              <w:rPr>
                <w:sz w:val="22"/>
              </w:rPr>
            </w:pPr>
            <w:r>
              <w:rPr>
                <w:sz w:val="22"/>
              </w:rPr>
              <w:t>ⅣA</w:t>
            </w:r>
            <w:r>
              <w:rPr>
                <w:spacing w:val="-5"/>
                <w:sz w:val="22"/>
              </w:rPr>
              <w:t> 期</w:t>
            </w:r>
          </w:p>
        </w:tc>
        <w:tc>
          <w:tcPr>
            <w:tcW w:w="2096" w:type="dxa"/>
          </w:tcPr>
          <w:p>
            <w:pPr>
              <w:pStyle w:val="TableParagraph"/>
              <w:spacing w:before="7"/>
              <w:ind w:left="116"/>
              <w:rPr>
                <w:sz w:val="22"/>
              </w:rPr>
            </w:pPr>
            <w:r>
              <w:rPr>
                <w:spacing w:val="-4"/>
                <w:sz w:val="22"/>
              </w:rPr>
              <w:t>1～3a</w:t>
            </w:r>
          </w:p>
        </w:tc>
        <w:tc>
          <w:tcPr>
            <w:tcW w:w="2159" w:type="dxa"/>
          </w:tcPr>
          <w:p>
            <w:pPr>
              <w:pStyle w:val="TableParagraph"/>
              <w:spacing w:before="7"/>
              <w:ind w:left="113"/>
              <w:rPr>
                <w:sz w:val="22"/>
              </w:rPr>
            </w:pPr>
            <w:r>
              <w:rPr>
                <w:spacing w:val="-5"/>
                <w:sz w:val="22"/>
              </w:rPr>
              <w:t>0/x</w:t>
            </w:r>
          </w:p>
        </w:tc>
        <w:tc>
          <w:tcPr>
            <w:tcW w:w="1948" w:type="dxa"/>
            <w:tcBorders>
              <w:right w:val="single" w:sz="12" w:space="0" w:color="000000"/>
            </w:tcBorders>
          </w:tcPr>
          <w:p>
            <w:pPr>
              <w:pStyle w:val="TableParagraph"/>
              <w:spacing w:before="7"/>
              <w:ind w:left="102"/>
              <w:rPr>
                <w:sz w:val="22"/>
              </w:rPr>
            </w:pPr>
            <w:r>
              <w:rPr>
                <w:w w:val="100"/>
                <w:sz w:val="22"/>
              </w:rPr>
              <w:t>0</w:t>
            </w:r>
          </w:p>
        </w:tc>
      </w:tr>
      <w:tr>
        <w:trPr>
          <w:trHeight w:val="311" w:hRule="atLeast"/>
        </w:trPr>
        <w:tc>
          <w:tcPr>
            <w:tcW w:w="2329" w:type="dxa"/>
            <w:vMerge w:val="restart"/>
            <w:tcBorders>
              <w:left w:val="single" w:sz="12" w:space="0" w:color="000000"/>
            </w:tcBorders>
          </w:tcPr>
          <w:p>
            <w:pPr>
              <w:pStyle w:val="TableParagraph"/>
              <w:spacing w:before="168"/>
              <w:rPr>
                <w:sz w:val="22"/>
              </w:rPr>
            </w:pPr>
            <w:r>
              <w:rPr>
                <w:sz w:val="22"/>
              </w:rPr>
              <w:t>ⅣB</w:t>
            </w:r>
            <w:r>
              <w:rPr>
                <w:spacing w:val="-5"/>
                <w:sz w:val="22"/>
              </w:rPr>
              <w:t> 期</w:t>
            </w:r>
          </w:p>
        </w:tc>
        <w:tc>
          <w:tcPr>
            <w:tcW w:w="2096" w:type="dxa"/>
          </w:tcPr>
          <w:p>
            <w:pPr>
              <w:pStyle w:val="TableParagraph"/>
              <w:spacing w:before="7"/>
              <w:ind w:left="116"/>
              <w:rPr>
                <w:sz w:val="22"/>
              </w:rPr>
            </w:pPr>
            <w:r>
              <w:rPr>
                <w:spacing w:val="-4"/>
                <w:sz w:val="22"/>
              </w:rPr>
              <w:t>1～3a</w:t>
            </w:r>
          </w:p>
        </w:tc>
        <w:tc>
          <w:tcPr>
            <w:tcW w:w="2159" w:type="dxa"/>
          </w:tcPr>
          <w:p>
            <w:pPr>
              <w:pStyle w:val="TableParagraph"/>
              <w:spacing w:before="7"/>
              <w:ind w:left="113"/>
              <w:rPr>
                <w:sz w:val="22"/>
              </w:rPr>
            </w:pPr>
            <w:r>
              <w:rPr>
                <w:w w:val="100"/>
                <w:sz w:val="22"/>
              </w:rPr>
              <w:t>1</w:t>
            </w:r>
          </w:p>
        </w:tc>
        <w:tc>
          <w:tcPr>
            <w:tcW w:w="1948" w:type="dxa"/>
            <w:tcBorders>
              <w:right w:val="single" w:sz="12" w:space="0" w:color="000000"/>
            </w:tcBorders>
          </w:tcPr>
          <w:p>
            <w:pPr>
              <w:pStyle w:val="TableParagraph"/>
              <w:spacing w:before="7"/>
              <w:ind w:left="102"/>
              <w:rPr>
                <w:sz w:val="22"/>
              </w:rPr>
            </w:pPr>
            <w:r>
              <w:rPr>
                <w:w w:val="100"/>
                <w:sz w:val="22"/>
              </w:rPr>
              <w:t>0</w:t>
            </w:r>
          </w:p>
        </w:tc>
      </w:tr>
      <w:tr>
        <w:trPr>
          <w:trHeight w:val="311" w:hRule="atLeast"/>
        </w:trPr>
        <w:tc>
          <w:tcPr>
            <w:tcW w:w="2329" w:type="dxa"/>
            <w:vMerge/>
            <w:tcBorders>
              <w:top w:val="nil"/>
              <w:left w:val="single" w:sz="12" w:space="0" w:color="000000"/>
            </w:tcBorders>
          </w:tcPr>
          <w:p>
            <w:pPr>
              <w:rPr>
                <w:sz w:val="2"/>
                <w:szCs w:val="2"/>
              </w:rPr>
            </w:pPr>
          </w:p>
        </w:tc>
        <w:tc>
          <w:tcPr>
            <w:tcW w:w="2096" w:type="dxa"/>
          </w:tcPr>
          <w:p>
            <w:pPr>
              <w:pStyle w:val="TableParagraph"/>
              <w:spacing w:before="7"/>
              <w:ind w:left="116"/>
              <w:rPr>
                <w:sz w:val="22"/>
              </w:rPr>
            </w:pPr>
            <w:r>
              <w:rPr>
                <w:spacing w:val="-4"/>
                <w:sz w:val="22"/>
              </w:rPr>
              <w:t>3b～4</w:t>
            </w:r>
          </w:p>
        </w:tc>
        <w:tc>
          <w:tcPr>
            <w:tcW w:w="2159" w:type="dxa"/>
          </w:tcPr>
          <w:p>
            <w:pPr>
              <w:pStyle w:val="TableParagraph"/>
              <w:spacing w:before="7"/>
              <w:ind w:left="113"/>
              <w:rPr>
                <w:sz w:val="22"/>
              </w:rPr>
            </w:pPr>
            <w:r>
              <w:rPr>
                <w:spacing w:val="-5"/>
                <w:sz w:val="22"/>
              </w:rPr>
              <w:t>任何</w:t>
            </w:r>
          </w:p>
        </w:tc>
        <w:tc>
          <w:tcPr>
            <w:tcW w:w="1948" w:type="dxa"/>
            <w:tcBorders>
              <w:right w:val="single" w:sz="12" w:space="0" w:color="000000"/>
            </w:tcBorders>
          </w:tcPr>
          <w:p>
            <w:pPr>
              <w:pStyle w:val="TableParagraph"/>
              <w:spacing w:before="7"/>
              <w:ind w:left="102"/>
              <w:rPr>
                <w:sz w:val="22"/>
              </w:rPr>
            </w:pPr>
            <w:r>
              <w:rPr>
                <w:w w:val="100"/>
                <w:sz w:val="22"/>
              </w:rPr>
              <w:t>0</w:t>
            </w:r>
          </w:p>
        </w:tc>
      </w:tr>
      <w:tr>
        <w:trPr>
          <w:trHeight w:val="311" w:hRule="atLeast"/>
        </w:trPr>
        <w:tc>
          <w:tcPr>
            <w:tcW w:w="2329" w:type="dxa"/>
            <w:tcBorders>
              <w:left w:val="single" w:sz="12" w:space="0" w:color="000000"/>
              <w:bottom w:val="single" w:sz="12" w:space="0" w:color="000000"/>
            </w:tcBorders>
          </w:tcPr>
          <w:p>
            <w:pPr>
              <w:pStyle w:val="TableParagraph"/>
              <w:spacing w:before="7"/>
              <w:rPr>
                <w:sz w:val="22"/>
              </w:rPr>
            </w:pPr>
            <w:r>
              <w:rPr>
                <w:sz w:val="22"/>
              </w:rPr>
              <w:t>ⅣC</w:t>
            </w:r>
            <w:r>
              <w:rPr>
                <w:spacing w:val="-5"/>
                <w:sz w:val="22"/>
              </w:rPr>
              <w:t> 期</w:t>
            </w:r>
          </w:p>
        </w:tc>
        <w:tc>
          <w:tcPr>
            <w:tcW w:w="2096" w:type="dxa"/>
            <w:tcBorders>
              <w:bottom w:val="single" w:sz="12" w:space="0" w:color="000000"/>
            </w:tcBorders>
          </w:tcPr>
          <w:p>
            <w:pPr>
              <w:pStyle w:val="TableParagraph"/>
              <w:spacing w:before="7"/>
              <w:ind w:left="116"/>
              <w:rPr>
                <w:sz w:val="22"/>
              </w:rPr>
            </w:pPr>
            <w:r>
              <w:rPr>
                <w:spacing w:val="-5"/>
                <w:sz w:val="22"/>
              </w:rPr>
              <w:t>任何</w:t>
            </w:r>
          </w:p>
        </w:tc>
        <w:tc>
          <w:tcPr>
            <w:tcW w:w="2159" w:type="dxa"/>
            <w:tcBorders>
              <w:bottom w:val="single" w:sz="12" w:space="0" w:color="000000"/>
            </w:tcBorders>
          </w:tcPr>
          <w:p>
            <w:pPr>
              <w:pStyle w:val="TableParagraph"/>
              <w:spacing w:before="7"/>
              <w:ind w:left="113"/>
              <w:rPr>
                <w:sz w:val="22"/>
              </w:rPr>
            </w:pPr>
            <w:r>
              <w:rPr>
                <w:spacing w:val="-5"/>
                <w:sz w:val="22"/>
              </w:rPr>
              <w:t>任何</w:t>
            </w:r>
          </w:p>
        </w:tc>
        <w:tc>
          <w:tcPr>
            <w:tcW w:w="1948" w:type="dxa"/>
            <w:tcBorders>
              <w:bottom w:val="single" w:sz="12" w:space="0" w:color="000000"/>
              <w:right w:val="single" w:sz="12" w:space="0" w:color="000000"/>
            </w:tcBorders>
          </w:tcPr>
          <w:p>
            <w:pPr>
              <w:pStyle w:val="TableParagraph"/>
              <w:spacing w:before="7"/>
              <w:ind w:left="102"/>
              <w:rPr>
                <w:sz w:val="22"/>
              </w:rPr>
            </w:pPr>
            <w:r>
              <w:rPr>
                <w:w w:val="100"/>
                <w:sz w:val="22"/>
              </w:rPr>
              <w:t>1</w:t>
            </w:r>
          </w:p>
        </w:tc>
      </w:tr>
    </w:tbl>
    <w:p>
      <w:pPr>
        <w:spacing w:before="49"/>
        <w:ind w:left="238" w:right="0" w:firstLine="0"/>
        <w:jc w:val="left"/>
        <w:rPr>
          <w:sz w:val="18"/>
        </w:rPr>
      </w:pPr>
      <w:r>
        <w:rPr>
          <w:spacing w:val="-3"/>
          <w:sz w:val="18"/>
        </w:rPr>
        <w:t>注：以上表格中“年龄”指患者病理组织标本获取日期时的年龄。</w:t>
      </w:r>
    </w:p>
    <w:p>
      <w:pPr>
        <w:pStyle w:val="Heading3"/>
        <w:spacing w:line="240" w:lineRule="auto" w:before="58"/>
      </w:pPr>
      <w:r>
        <w:rPr>
          <w:w w:val="95"/>
        </w:rPr>
        <w:t>六、</w:t>
      </w:r>
      <w:r>
        <w:rPr>
          <w:w w:val="95"/>
        </w:rPr>
        <w:t>肢</w:t>
      </w:r>
      <w:r>
        <w:rPr>
          <w:spacing w:val="-10"/>
          <w:w w:val="95"/>
        </w:rPr>
        <w:t>体</w:t>
      </w:r>
    </w:p>
    <w:p>
      <w:pPr>
        <w:spacing w:line="266" w:lineRule="auto" w:before="30"/>
        <w:ind w:left="238" w:right="4144" w:firstLine="0"/>
        <w:jc w:val="left"/>
        <w:rPr>
          <w:b/>
          <w:sz w:val="22"/>
        </w:rPr>
      </w:pPr>
      <w:r>
        <w:rPr>
          <w:spacing w:val="-2"/>
          <w:sz w:val="22"/>
        </w:rPr>
        <w:t>肢体是指包括肩关节的整个上肢或包括髋关节的整个下肢。</w:t>
      </w:r>
      <w:r>
        <w:rPr>
          <w:b/>
          <w:spacing w:val="-4"/>
          <w:sz w:val="22"/>
        </w:rPr>
        <w:t>七、</w:t>
      </w:r>
      <w:r>
        <w:rPr>
          <w:b/>
          <w:spacing w:val="-4"/>
          <w:sz w:val="22"/>
        </w:rPr>
        <w:t>肌</w:t>
      </w:r>
      <w:r>
        <w:rPr>
          <w:b/>
          <w:spacing w:val="-4"/>
          <w:sz w:val="22"/>
        </w:rPr>
        <w:t>力</w:t>
      </w:r>
    </w:p>
    <w:p>
      <w:pPr>
        <w:spacing w:line="280" w:lineRule="exact" w:before="0"/>
        <w:ind w:left="238" w:right="0" w:firstLine="0"/>
        <w:jc w:val="left"/>
        <w:rPr>
          <w:sz w:val="22"/>
        </w:rPr>
      </w:pPr>
      <w:r>
        <w:rPr>
          <w:spacing w:val="-1"/>
          <w:sz w:val="22"/>
        </w:rPr>
        <w:t>指肌肉收缩时的力量。肌力划分为 </w:t>
      </w:r>
      <w:r>
        <w:rPr>
          <w:sz w:val="22"/>
        </w:rPr>
        <w:t>0-5</w:t>
      </w:r>
      <w:r>
        <w:rPr>
          <w:spacing w:val="-4"/>
          <w:sz w:val="22"/>
        </w:rPr>
        <w:t> 级，具体为：</w:t>
      </w:r>
    </w:p>
    <w:p>
      <w:pPr>
        <w:pStyle w:val="ListParagraph"/>
        <w:numPr>
          <w:ilvl w:val="0"/>
          <w:numId w:val="123"/>
        </w:numPr>
        <w:tabs>
          <w:tab w:pos="459" w:val="left" w:leader="none"/>
        </w:tabs>
        <w:spacing w:line="240" w:lineRule="auto" w:before="31" w:after="0"/>
        <w:ind w:left="458" w:right="0" w:hanging="221"/>
        <w:jc w:val="left"/>
        <w:rPr>
          <w:sz w:val="22"/>
        </w:rPr>
      </w:pPr>
      <w:r>
        <w:rPr>
          <w:spacing w:val="-3"/>
          <w:sz w:val="22"/>
        </w:rPr>
        <w:t>级：肌肉完全瘫痪，毫无收缩。</w:t>
      </w:r>
    </w:p>
    <w:p>
      <w:pPr>
        <w:pStyle w:val="ListParagraph"/>
        <w:numPr>
          <w:ilvl w:val="0"/>
          <w:numId w:val="123"/>
        </w:numPr>
        <w:tabs>
          <w:tab w:pos="459" w:val="left" w:leader="none"/>
        </w:tabs>
        <w:spacing w:line="240" w:lineRule="auto" w:before="30" w:after="0"/>
        <w:ind w:left="458" w:right="0" w:hanging="221"/>
        <w:jc w:val="left"/>
        <w:rPr>
          <w:sz w:val="22"/>
        </w:rPr>
      </w:pPr>
      <w:r>
        <w:rPr>
          <w:spacing w:val="-6"/>
          <w:sz w:val="22"/>
        </w:rPr>
        <w:t>级： 可看到或者触及肌肉轻微收缩，但不能产生动作。</w:t>
      </w:r>
    </w:p>
    <w:p>
      <w:pPr>
        <w:pStyle w:val="ListParagraph"/>
        <w:numPr>
          <w:ilvl w:val="0"/>
          <w:numId w:val="123"/>
        </w:numPr>
        <w:tabs>
          <w:tab w:pos="459" w:val="left" w:leader="none"/>
        </w:tabs>
        <w:spacing w:line="240" w:lineRule="auto" w:before="30" w:after="0"/>
        <w:ind w:left="458" w:right="0" w:hanging="221"/>
        <w:jc w:val="left"/>
        <w:rPr>
          <w:sz w:val="22"/>
        </w:rPr>
      </w:pPr>
      <w:r>
        <w:rPr>
          <w:spacing w:val="-3"/>
          <w:sz w:val="22"/>
        </w:rPr>
        <w:t>级： 肌肉在不受重力影响下，可进行运动，即肢体能在床面上移动，但不能抬高。</w:t>
      </w:r>
    </w:p>
    <w:p>
      <w:pPr>
        <w:pStyle w:val="ListParagraph"/>
        <w:numPr>
          <w:ilvl w:val="0"/>
          <w:numId w:val="123"/>
        </w:numPr>
        <w:tabs>
          <w:tab w:pos="459" w:val="left" w:leader="none"/>
        </w:tabs>
        <w:spacing w:line="240" w:lineRule="auto" w:before="30" w:after="0"/>
        <w:ind w:left="458" w:right="0" w:hanging="221"/>
        <w:jc w:val="left"/>
        <w:rPr>
          <w:sz w:val="22"/>
        </w:rPr>
      </w:pPr>
      <w:r>
        <w:rPr>
          <w:spacing w:val="-3"/>
          <w:sz w:val="22"/>
        </w:rPr>
        <w:t>级： 在和地心引力相反的方向中尚能完成其动作，但不能对抗外加阻力。</w:t>
      </w:r>
    </w:p>
    <w:p>
      <w:pPr>
        <w:pStyle w:val="ListParagraph"/>
        <w:numPr>
          <w:ilvl w:val="0"/>
          <w:numId w:val="123"/>
        </w:numPr>
        <w:tabs>
          <w:tab w:pos="459" w:val="left" w:leader="none"/>
        </w:tabs>
        <w:spacing w:line="240" w:lineRule="auto" w:before="30" w:after="0"/>
        <w:ind w:left="458" w:right="0" w:hanging="221"/>
        <w:jc w:val="left"/>
        <w:rPr>
          <w:sz w:val="22"/>
        </w:rPr>
      </w:pPr>
      <w:r>
        <w:rPr>
          <w:spacing w:val="-5"/>
          <w:sz w:val="22"/>
        </w:rPr>
        <w:t>级： 能对抗一定的阻力，但较正常人为低。</w:t>
      </w:r>
    </w:p>
    <w:p>
      <w:pPr>
        <w:pStyle w:val="ListParagraph"/>
        <w:numPr>
          <w:ilvl w:val="0"/>
          <w:numId w:val="123"/>
        </w:numPr>
        <w:tabs>
          <w:tab w:pos="459" w:val="left" w:leader="none"/>
        </w:tabs>
        <w:spacing w:line="240" w:lineRule="auto" w:before="30" w:after="0"/>
        <w:ind w:left="458" w:right="0" w:hanging="221"/>
        <w:jc w:val="left"/>
        <w:rPr>
          <w:sz w:val="22"/>
        </w:rPr>
      </w:pPr>
      <w:r>
        <w:rPr>
          <w:spacing w:val="-3"/>
          <w:sz w:val="22"/>
        </w:rPr>
        <w:t>级： 正常肌力。</w:t>
      </w:r>
    </w:p>
    <w:p>
      <w:pPr>
        <w:pStyle w:val="Heading3"/>
        <w:spacing w:line="240" w:lineRule="auto" w:before="31"/>
      </w:pPr>
      <w:r>
        <w:rPr>
          <w:w w:val="95"/>
        </w:rPr>
        <w:t>八、</w:t>
      </w:r>
      <w:r>
        <w:rPr>
          <w:w w:val="95"/>
        </w:rPr>
        <w:t>语</w:t>
      </w:r>
      <w:r>
        <w:rPr>
          <w:w w:val="95"/>
        </w:rPr>
        <w:t>言</w:t>
      </w:r>
      <w:r>
        <w:rPr>
          <w:w w:val="95"/>
        </w:rPr>
        <w:t>能</w:t>
      </w:r>
      <w:r>
        <w:rPr>
          <w:w w:val="95"/>
        </w:rPr>
        <w:t>力</w:t>
      </w:r>
      <w:r>
        <w:rPr>
          <w:w w:val="95"/>
        </w:rPr>
        <w:t>完</w:t>
      </w:r>
      <w:r>
        <w:rPr>
          <w:w w:val="95"/>
        </w:rPr>
        <w:t>全</w:t>
      </w:r>
      <w:r>
        <w:rPr>
          <w:w w:val="95"/>
        </w:rPr>
        <w:t>丧</w:t>
      </w:r>
      <w:r>
        <w:rPr>
          <w:w w:val="95"/>
        </w:rPr>
        <w:t>失</w:t>
      </w:r>
      <w:r>
        <w:rPr>
          <w:w w:val="95"/>
        </w:rPr>
        <w:t>或</w:t>
      </w:r>
      <w:r>
        <w:rPr>
          <w:w w:val="95"/>
        </w:rPr>
        <w:t>严</w:t>
      </w:r>
      <w:r>
        <w:rPr>
          <w:w w:val="95"/>
        </w:rPr>
        <w:t>重</w:t>
      </w:r>
      <w:r>
        <w:rPr>
          <w:w w:val="95"/>
        </w:rPr>
        <w:t>咀</w:t>
      </w:r>
      <w:r>
        <w:rPr>
          <w:w w:val="95"/>
        </w:rPr>
        <w:t>嚼</w:t>
      </w:r>
      <w:r>
        <w:rPr>
          <w:w w:val="95"/>
        </w:rPr>
        <w:t>吞</w:t>
      </w:r>
      <w:r>
        <w:rPr>
          <w:w w:val="95"/>
        </w:rPr>
        <w:t>咽</w:t>
      </w:r>
      <w:r>
        <w:rPr>
          <w:w w:val="95"/>
        </w:rPr>
        <w:t>功</w:t>
      </w:r>
      <w:r>
        <w:rPr>
          <w:w w:val="95"/>
        </w:rPr>
        <w:t>能</w:t>
      </w:r>
      <w:r>
        <w:rPr>
          <w:w w:val="95"/>
        </w:rPr>
        <w:t>障</w:t>
      </w:r>
      <w:r>
        <w:rPr>
          <w:spacing w:val="-10"/>
          <w:w w:val="95"/>
        </w:rPr>
        <w:t>碍</w:t>
      </w:r>
    </w:p>
    <w:p>
      <w:pPr>
        <w:spacing w:line="266" w:lineRule="auto" w:before="30"/>
        <w:ind w:left="238" w:right="1554" w:firstLine="0"/>
        <w:jc w:val="left"/>
        <w:rPr>
          <w:sz w:val="22"/>
        </w:rPr>
      </w:pPr>
      <w:r>
        <w:rPr>
          <w:spacing w:val="-2"/>
          <w:sz w:val="22"/>
        </w:rPr>
        <w:t>语言能力完全丧失，指无法发出四种语音（包括口唇音、齿舌音、口盖音和喉头音）</w:t>
      </w:r>
      <w:r>
        <w:rPr>
          <w:spacing w:val="-2"/>
          <w:sz w:val="22"/>
        </w:rPr>
        <w:t>中</w:t>
      </w:r>
      <w:r>
        <w:rPr>
          <w:spacing w:val="-2"/>
          <w:sz w:val="22"/>
        </w:rPr>
        <w:t>的任何三种、或声带全部切除，或因大脑语言中枢受伤害而患失语症。</w:t>
      </w:r>
    </w:p>
    <w:p>
      <w:pPr>
        <w:spacing w:line="266" w:lineRule="auto" w:before="0"/>
        <w:ind w:left="238" w:right="1555" w:firstLine="0"/>
        <w:jc w:val="left"/>
        <w:rPr>
          <w:sz w:val="22"/>
        </w:rPr>
      </w:pPr>
      <w:r>
        <w:rPr>
          <w:spacing w:val="-2"/>
          <w:sz w:val="22"/>
        </w:rPr>
        <w:t>严重咀嚼吞咽功能障碍，指因牙齿以外的原因导致器质障碍或机能障碍，以致不能作咀</w:t>
      </w:r>
      <w:r>
        <w:rPr>
          <w:spacing w:val="-2"/>
          <w:sz w:val="22"/>
        </w:rPr>
        <w:t>嚼吞咽运动，除流质食物外不能摄取或吞咽的状态。</w:t>
      </w:r>
    </w:p>
    <w:p>
      <w:pPr>
        <w:pStyle w:val="Heading3"/>
      </w:pPr>
      <w:r>
        <w:rPr>
          <w:w w:val="95"/>
        </w:rPr>
        <w:t>九、</w:t>
      </w:r>
      <w:r>
        <w:rPr>
          <w:w w:val="95"/>
        </w:rPr>
        <w:t>六</w:t>
      </w:r>
      <w:r>
        <w:rPr>
          <w:w w:val="95"/>
        </w:rPr>
        <w:t>项</w:t>
      </w:r>
      <w:r>
        <w:rPr>
          <w:w w:val="95"/>
        </w:rPr>
        <w:t>基</w:t>
      </w:r>
      <w:r>
        <w:rPr>
          <w:w w:val="95"/>
        </w:rPr>
        <w:t>本</w:t>
      </w:r>
      <w:r>
        <w:rPr>
          <w:w w:val="95"/>
        </w:rPr>
        <w:t>日</w:t>
      </w:r>
      <w:r>
        <w:rPr>
          <w:w w:val="95"/>
        </w:rPr>
        <w:t>常</w:t>
      </w:r>
      <w:r>
        <w:rPr>
          <w:w w:val="95"/>
        </w:rPr>
        <w:t>生</w:t>
      </w:r>
      <w:r>
        <w:rPr>
          <w:w w:val="95"/>
        </w:rPr>
        <w:t>活</w:t>
      </w:r>
      <w:r>
        <w:rPr>
          <w:w w:val="95"/>
        </w:rPr>
        <w:t>活</w:t>
      </w:r>
      <w:r>
        <w:rPr>
          <w:spacing w:val="-10"/>
          <w:w w:val="95"/>
        </w:rPr>
        <w:t>动</w:t>
      </w:r>
    </w:p>
    <w:p>
      <w:pPr>
        <w:spacing w:line="266" w:lineRule="auto" w:before="28"/>
        <w:ind w:left="238" w:right="1552" w:firstLine="0"/>
        <w:jc w:val="both"/>
        <w:rPr>
          <w:sz w:val="22"/>
        </w:rPr>
      </w:pPr>
      <w:r>
        <w:rPr>
          <w:spacing w:val="-15"/>
          <w:sz w:val="22"/>
        </w:rPr>
        <w:t>六项基本日常生活活动是指：</w:t>
      </w:r>
      <w:r>
        <w:rPr>
          <w:spacing w:val="24"/>
          <w:sz w:val="22"/>
        </w:rPr>
        <w:t>（</w:t>
      </w:r>
      <w:r>
        <w:rPr>
          <w:spacing w:val="21"/>
          <w:sz w:val="22"/>
        </w:rPr>
        <w:t>1</w:t>
      </w:r>
      <w:r>
        <w:rPr>
          <w:spacing w:val="16"/>
          <w:sz w:val="22"/>
        </w:rPr>
        <w:t>）</w:t>
      </w:r>
      <w:r>
        <w:rPr>
          <w:spacing w:val="-15"/>
          <w:sz w:val="22"/>
        </w:rPr>
        <w:t>穿衣：自己能够穿衣及脱衣；</w:t>
      </w:r>
      <w:r>
        <w:rPr>
          <w:spacing w:val="22"/>
          <w:sz w:val="22"/>
        </w:rPr>
        <w:t>（</w:t>
      </w:r>
      <w:r>
        <w:rPr>
          <w:spacing w:val="24"/>
          <w:sz w:val="22"/>
        </w:rPr>
        <w:t>2</w:t>
      </w:r>
      <w:r>
        <w:rPr>
          <w:spacing w:val="14"/>
          <w:sz w:val="22"/>
        </w:rPr>
        <w:t>）</w:t>
      </w:r>
      <w:r>
        <w:rPr>
          <w:spacing w:val="-8"/>
          <w:sz w:val="22"/>
        </w:rPr>
        <w:t>移动：自己从一个</w:t>
      </w:r>
      <w:r>
        <w:rPr>
          <w:spacing w:val="-18"/>
          <w:sz w:val="22"/>
        </w:rPr>
        <w:t>房间到另一个房间；</w:t>
      </w:r>
      <w:r>
        <w:rPr>
          <w:spacing w:val="21"/>
          <w:sz w:val="22"/>
        </w:rPr>
        <w:t>（</w:t>
      </w:r>
      <w:r>
        <w:rPr>
          <w:spacing w:val="24"/>
          <w:sz w:val="22"/>
        </w:rPr>
        <w:t>3</w:t>
      </w:r>
      <w:r>
        <w:rPr>
          <w:spacing w:val="14"/>
          <w:sz w:val="22"/>
        </w:rPr>
        <w:t>）</w:t>
      </w:r>
      <w:r>
        <w:rPr>
          <w:spacing w:val="-15"/>
          <w:sz w:val="22"/>
        </w:rPr>
        <w:t>行动：自己上下床或上下轮椅；</w:t>
      </w:r>
      <w:r>
        <w:rPr>
          <w:spacing w:val="22"/>
          <w:sz w:val="22"/>
        </w:rPr>
        <w:t>（</w:t>
      </w:r>
      <w:r>
        <w:rPr>
          <w:spacing w:val="24"/>
          <w:sz w:val="22"/>
        </w:rPr>
        <w:t>4</w:t>
      </w:r>
      <w:r>
        <w:rPr>
          <w:spacing w:val="14"/>
          <w:sz w:val="22"/>
        </w:rPr>
        <w:t>）</w:t>
      </w:r>
      <w:r>
        <w:rPr>
          <w:spacing w:val="-8"/>
          <w:sz w:val="22"/>
        </w:rPr>
        <w:t>如厕：自己控制进行大小</w:t>
      </w:r>
      <w:r>
        <w:rPr>
          <w:spacing w:val="-52"/>
          <w:sz w:val="22"/>
        </w:rPr>
        <w:t>便；</w:t>
      </w:r>
      <w:r>
        <w:rPr>
          <w:spacing w:val="24"/>
          <w:sz w:val="22"/>
        </w:rPr>
        <w:t>（</w:t>
      </w:r>
      <w:r>
        <w:rPr>
          <w:spacing w:val="21"/>
          <w:sz w:val="22"/>
        </w:rPr>
        <w:t>5</w:t>
      </w:r>
      <w:r>
        <w:rPr>
          <w:spacing w:val="16"/>
          <w:sz w:val="22"/>
        </w:rPr>
        <w:t>）</w:t>
      </w:r>
      <w:r>
        <w:rPr>
          <w:spacing w:val="-12"/>
          <w:sz w:val="22"/>
        </w:rPr>
        <w:t>进食：自己从已准备好的碗或碟中取食物放入口中；</w:t>
      </w:r>
      <w:r>
        <w:rPr>
          <w:spacing w:val="25"/>
          <w:sz w:val="22"/>
        </w:rPr>
        <w:t>（</w:t>
      </w:r>
      <w:r>
        <w:rPr>
          <w:spacing w:val="21"/>
          <w:sz w:val="22"/>
        </w:rPr>
        <w:t>6</w:t>
      </w:r>
      <w:r>
        <w:rPr>
          <w:spacing w:val="16"/>
          <w:sz w:val="22"/>
        </w:rPr>
        <w:t>）</w:t>
      </w:r>
      <w:r>
        <w:rPr>
          <w:spacing w:val="-8"/>
          <w:sz w:val="22"/>
        </w:rPr>
        <w:t>洗澡：自己进行淋浴</w:t>
      </w:r>
      <w:r>
        <w:rPr>
          <w:spacing w:val="-4"/>
          <w:sz w:val="22"/>
        </w:rPr>
        <w:t>或盆浴。</w:t>
      </w:r>
    </w:p>
    <w:p>
      <w:pPr>
        <w:pStyle w:val="Heading3"/>
        <w:spacing w:line="266" w:lineRule="auto"/>
        <w:ind w:right="4012"/>
      </w:pPr>
      <w:r>
        <w:rPr/>
        <w:t>六</w:t>
      </w:r>
      <w:r>
        <w:rPr/>
        <w:t>项</w:t>
      </w:r>
      <w:r>
        <w:rPr/>
        <w:t>基</w:t>
      </w:r>
      <w:r>
        <w:rPr/>
        <w:t>本</w:t>
      </w:r>
      <w:r>
        <w:rPr/>
        <w:t>日</w:t>
      </w:r>
      <w:r>
        <w:rPr/>
        <w:t>常</w:t>
      </w:r>
      <w:r>
        <w:rPr/>
        <w:t>生</w:t>
      </w:r>
      <w:r>
        <w:rPr/>
        <w:t>活</w:t>
      </w:r>
      <w:r>
        <w:rPr/>
        <w:t>活</w:t>
      </w:r>
      <w:r>
        <w:rPr/>
        <w:t>动</w:t>
      </w:r>
      <w:r>
        <w:rPr/>
        <w:t>能</w:t>
      </w:r>
      <w:r>
        <w:rPr/>
        <w:t>力</w:t>
      </w:r>
      <w:r>
        <w:rPr/>
        <w:t>的</w:t>
      </w:r>
      <w:r>
        <w:rPr/>
        <w:t>鉴</w:t>
      </w:r>
      <w:r>
        <w:rPr/>
        <w:t>定</w:t>
      </w:r>
      <w:r>
        <w:rPr/>
        <w:t>不</w:t>
      </w:r>
      <w:r>
        <w:rPr/>
        <w:t>适</w:t>
      </w:r>
      <w:r>
        <w:rPr/>
        <w:t>用</w:t>
      </w:r>
      <w:r>
        <w:rPr/>
        <w:t>于</w:t>
      </w:r>
      <w:r>
        <w:rPr>
          <w:spacing w:val="-18"/>
        </w:rPr>
        <w:t> </w:t>
      </w:r>
      <w:r>
        <w:rPr/>
        <w:t>0-3</w:t>
      </w:r>
      <w:r>
        <w:rPr>
          <w:spacing w:val="-9"/>
        </w:rPr>
        <w:t> 周</w:t>
      </w:r>
      <w:r>
        <w:rPr/>
        <w:t>岁</w:t>
      </w:r>
      <w:r>
        <w:rPr/>
        <w:t>幼</w:t>
      </w:r>
      <w:r>
        <w:rPr/>
        <w:t>儿</w:t>
      </w:r>
      <w:r>
        <w:rPr/>
        <w:t>。</w:t>
      </w:r>
      <w:r>
        <w:rPr>
          <w:spacing w:val="-2"/>
        </w:rPr>
        <w:t>十、</w:t>
      </w:r>
      <w:r>
        <w:rPr>
          <w:spacing w:val="-2"/>
        </w:rPr>
        <w:t>永</w:t>
      </w:r>
      <w:r>
        <w:rPr>
          <w:spacing w:val="-2"/>
        </w:rPr>
        <w:t>久</w:t>
      </w:r>
      <w:r>
        <w:rPr>
          <w:spacing w:val="-2"/>
        </w:rPr>
        <w:t>不</w:t>
      </w:r>
      <w:r>
        <w:rPr>
          <w:spacing w:val="-2"/>
        </w:rPr>
        <w:t>可</w:t>
      </w:r>
      <w:r>
        <w:rPr>
          <w:spacing w:val="-2"/>
        </w:rPr>
        <w:t>逆</w:t>
      </w:r>
    </w:p>
    <w:p>
      <w:pPr>
        <w:spacing w:line="266" w:lineRule="auto" w:before="0"/>
        <w:ind w:left="238" w:right="1552" w:firstLine="0"/>
        <w:jc w:val="left"/>
        <w:rPr>
          <w:sz w:val="22"/>
        </w:rPr>
      </w:pPr>
      <w:r>
        <w:rPr>
          <w:sz w:val="22"/>
        </w:rPr>
        <w:t>指自疾病确诊或意外伤害发生之日起，经过积极治疗 180 天后，仍无法通过现有医疗</w:t>
      </w:r>
      <w:r>
        <w:rPr>
          <w:spacing w:val="-2"/>
          <w:sz w:val="22"/>
        </w:rPr>
        <w:t>手段恢复。</w:t>
      </w:r>
    </w:p>
    <w:p>
      <w:pPr>
        <w:spacing w:line="266" w:lineRule="auto" w:before="0"/>
        <w:ind w:left="238" w:right="1441" w:firstLine="0"/>
        <w:jc w:val="left"/>
        <w:rPr>
          <w:sz w:val="22"/>
        </w:rPr>
      </w:pPr>
      <w:r>
        <w:rPr>
          <w:b/>
          <w:sz w:val="22"/>
        </w:rPr>
        <w:t>十</w:t>
      </w:r>
      <w:r>
        <w:rPr>
          <w:b/>
          <w:sz w:val="22"/>
        </w:rPr>
        <w:t>一</w:t>
      </w:r>
      <w:r>
        <w:rPr>
          <w:b/>
          <w:sz w:val="22"/>
        </w:rPr>
        <w:t>、</w:t>
      </w:r>
      <w:r>
        <w:rPr>
          <w:b/>
          <w:sz w:val="22"/>
        </w:rPr>
        <w:t>美</w:t>
      </w:r>
      <w:r>
        <w:rPr>
          <w:b/>
          <w:sz w:val="22"/>
        </w:rPr>
        <w:t>国</w:t>
      </w:r>
      <w:r>
        <w:rPr>
          <w:b/>
          <w:sz w:val="22"/>
        </w:rPr>
        <w:t>纽</w:t>
      </w:r>
      <w:r>
        <w:rPr>
          <w:b/>
          <w:sz w:val="22"/>
        </w:rPr>
        <w:t>约</w:t>
      </w:r>
      <w:r>
        <w:rPr>
          <w:b/>
          <w:sz w:val="22"/>
        </w:rPr>
        <w:t>心</w:t>
      </w:r>
      <w:r>
        <w:rPr>
          <w:b/>
          <w:sz w:val="22"/>
        </w:rPr>
        <w:t>脏</w:t>
      </w:r>
      <w:r>
        <w:rPr>
          <w:b/>
          <w:sz w:val="22"/>
        </w:rPr>
        <w:t>病</w:t>
      </w:r>
      <w:r>
        <w:rPr>
          <w:b/>
          <w:sz w:val="22"/>
        </w:rPr>
        <w:t>学</w:t>
      </w:r>
      <w:r>
        <w:rPr>
          <w:b/>
          <w:sz w:val="22"/>
        </w:rPr>
        <w:t>会</w:t>
      </w:r>
      <w:r>
        <w:rPr>
          <w:b/>
          <w:sz w:val="22"/>
        </w:rPr>
        <w:t>（New York Heart Association，NYHA）</w:t>
      </w:r>
      <w:r>
        <w:rPr>
          <w:b/>
          <w:sz w:val="22"/>
        </w:rPr>
        <w:t>心</w:t>
      </w:r>
      <w:r>
        <w:rPr>
          <w:b/>
          <w:sz w:val="22"/>
        </w:rPr>
        <w:t>功</w:t>
      </w:r>
      <w:r>
        <w:rPr>
          <w:b/>
          <w:sz w:val="22"/>
        </w:rPr>
        <w:t>能</w:t>
      </w:r>
      <w:r>
        <w:rPr>
          <w:b/>
          <w:sz w:val="22"/>
        </w:rPr>
        <w:t>状</w:t>
      </w:r>
      <w:r>
        <w:rPr>
          <w:b/>
          <w:sz w:val="22"/>
        </w:rPr>
        <w:t>态</w:t>
      </w:r>
      <w:r>
        <w:rPr>
          <w:b/>
          <w:sz w:val="22"/>
        </w:rPr>
        <w:t>分</w:t>
      </w:r>
      <w:r>
        <w:rPr>
          <w:b/>
          <w:sz w:val="22"/>
        </w:rPr>
        <w:t>级</w:t>
      </w:r>
      <w:r>
        <w:rPr>
          <w:b/>
          <w:sz w:val="22"/>
        </w:rPr>
        <w:t> </w:t>
      </w:r>
      <w:r>
        <w:rPr>
          <w:sz w:val="22"/>
        </w:rPr>
        <w:t>美国纽约心脏病学会（New</w:t>
      </w:r>
      <w:r>
        <w:rPr>
          <w:spacing w:val="-24"/>
          <w:sz w:val="22"/>
        </w:rPr>
        <w:t> </w:t>
      </w:r>
      <w:r>
        <w:rPr>
          <w:sz w:val="22"/>
        </w:rPr>
        <w:t>York</w:t>
      </w:r>
      <w:r>
        <w:rPr>
          <w:spacing w:val="-24"/>
          <w:sz w:val="22"/>
        </w:rPr>
        <w:t> </w:t>
      </w:r>
      <w:r>
        <w:rPr>
          <w:sz w:val="22"/>
        </w:rPr>
        <w:t>Heart</w:t>
      </w:r>
      <w:r>
        <w:rPr>
          <w:spacing w:val="-24"/>
          <w:sz w:val="22"/>
        </w:rPr>
        <w:t> </w:t>
      </w:r>
      <w:r>
        <w:rPr>
          <w:sz w:val="22"/>
        </w:rPr>
        <w:t>Association</w:t>
      </w:r>
      <w:r>
        <w:rPr>
          <w:spacing w:val="-4"/>
          <w:sz w:val="22"/>
        </w:rPr>
        <w:t>， </w:t>
      </w:r>
      <w:r>
        <w:rPr>
          <w:sz w:val="22"/>
        </w:rPr>
        <w:t>NYHA）将心功能状态分为四级： </w:t>
      </w:r>
      <w:r>
        <w:rPr>
          <w:spacing w:val="-3"/>
          <w:sz w:val="22"/>
        </w:rPr>
        <w:t>Ⅰ级：心脏病病人日常活动量不受限制， 一般活动不引起乏力、呼吸困难等心衰症状。</w:t>
      </w:r>
      <w:r>
        <w:rPr>
          <w:spacing w:val="-2"/>
          <w:sz w:val="22"/>
        </w:rPr>
        <w:t> Ⅱ级：心脏病病人体力活动轻度受限制，休息时无自觉症状，一般活动下可出现心衰症</w:t>
      </w:r>
      <w:r>
        <w:rPr>
          <w:spacing w:val="-6"/>
          <w:sz w:val="22"/>
        </w:rPr>
        <w:t>状。</w:t>
      </w:r>
    </w:p>
    <w:p>
      <w:pPr>
        <w:spacing w:after="0" w:line="266" w:lineRule="auto"/>
        <w:jc w:val="left"/>
        <w:rPr>
          <w:sz w:val="22"/>
        </w:rPr>
        <w:sectPr>
          <w:type w:val="continuous"/>
          <w:pgSz w:w="11910" w:h="16840"/>
          <w:pgMar w:header="0" w:footer="1005" w:top="1420" w:bottom="1200" w:left="1560" w:right="240"/>
        </w:sectPr>
      </w:pPr>
    </w:p>
    <w:p>
      <w:pPr>
        <w:spacing w:before="57"/>
        <w:ind w:left="238" w:right="0" w:firstLine="0"/>
        <w:jc w:val="left"/>
        <w:rPr>
          <w:sz w:val="22"/>
        </w:rPr>
      </w:pPr>
      <w:r>
        <w:rPr>
          <w:spacing w:val="-3"/>
          <w:sz w:val="22"/>
        </w:rPr>
        <w:t>Ⅲ级：心脏病病人体力活动明显受限，低于平时一般活动即引起心衰症状。</w:t>
      </w:r>
    </w:p>
    <w:p>
      <w:pPr>
        <w:spacing w:line="266" w:lineRule="auto" w:before="30"/>
        <w:ind w:left="238" w:right="1507" w:firstLine="0"/>
        <w:jc w:val="left"/>
        <w:rPr>
          <w:b/>
          <w:sz w:val="22"/>
        </w:rPr>
      </w:pPr>
      <w:r>
        <w:rPr>
          <w:spacing w:val="-2"/>
          <w:sz w:val="22"/>
        </w:rPr>
        <w:t>Ⅳ级：心脏病病人不能从事任何体力活动，休息状态下也存在心衰症状，活动后加重。</w:t>
      </w:r>
      <w:r>
        <w:rPr>
          <w:b/>
          <w:spacing w:val="-2"/>
          <w:sz w:val="22"/>
        </w:rPr>
        <w:t>十</w:t>
      </w:r>
      <w:r>
        <w:rPr>
          <w:b/>
          <w:spacing w:val="-2"/>
          <w:sz w:val="22"/>
        </w:rPr>
        <w:t>二</w:t>
      </w:r>
      <w:r>
        <w:rPr>
          <w:b/>
          <w:spacing w:val="-2"/>
          <w:sz w:val="22"/>
        </w:rPr>
        <w:t>、</w:t>
      </w:r>
      <w:r>
        <w:rPr>
          <w:b/>
          <w:spacing w:val="-2"/>
          <w:sz w:val="22"/>
        </w:rPr>
        <w:t>感</w:t>
      </w:r>
      <w:r>
        <w:rPr>
          <w:b/>
          <w:spacing w:val="-2"/>
          <w:sz w:val="22"/>
        </w:rPr>
        <w:t>染</w:t>
      </w:r>
      <w:r>
        <w:rPr>
          <w:b/>
          <w:spacing w:val="-2"/>
          <w:sz w:val="22"/>
        </w:rPr>
        <w:t>艾</w:t>
      </w:r>
      <w:r>
        <w:rPr>
          <w:b/>
          <w:spacing w:val="-2"/>
          <w:sz w:val="22"/>
        </w:rPr>
        <w:t>滋</w:t>
      </w:r>
      <w:r>
        <w:rPr>
          <w:b/>
          <w:spacing w:val="-2"/>
          <w:sz w:val="22"/>
        </w:rPr>
        <w:t>病</w:t>
      </w:r>
      <w:r>
        <w:rPr>
          <w:b/>
          <w:spacing w:val="-2"/>
          <w:sz w:val="22"/>
        </w:rPr>
        <w:t>病</w:t>
      </w:r>
      <w:r>
        <w:rPr>
          <w:b/>
          <w:spacing w:val="-2"/>
          <w:sz w:val="22"/>
        </w:rPr>
        <w:t>毒</w:t>
      </w:r>
      <w:r>
        <w:rPr>
          <w:b/>
          <w:spacing w:val="-2"/>
          <w:sz w:val="22"/>
        </w:rPr>
        <w:t>或</w:t>
      </w:r>
      <w:r>
        <w:rPr>
          <w:b/>
          <w:spacing w:val="-2"/>
          <w:sz w:val="22"/>
        </w:rPr>
        <w:t>患</w:t>
      </w:r>
      <w:r>
        <w:rPr>
          <w:b/>
          <w:spacing w:val="-2"/>
          <w:sz w:val="22"/>
        </w:rPr>
        <w:t>艾</w:t>
      </w:r>
      <w:r>
        <w:rPr>
          <w:b/>
          <w:spacing w:val="-2"/>
          <w:sz w:val="22"/>
        </w:rPr>
        <w:t>滋</w:t>
      </w:r>
      <w:r>
        <w:rPr>
          <w:b/>
          <w:spacing w:val="-2"/>
          <w:sz w:val="22"/>
        </w:rPr>
        <w:t>病</w:t>
      </w:r>
    </w:p>
    <w:p>
      <w:pPr>
        <w:spacing w:line="266" w:lineRule="auto" w:before="0"/>
        <w:ind w:left="238" w:right="1554" w:firstLine="0"/>
        <w:jc w:val="left"/>
        <w:rPr>
          <w:sz w:val="22"/>
        </w:rPr>
      </w:pPr>
      <w:r>
        <w:rPr>
          <w:spacing w:val="-3"/>
          <w:sz w:val="22"/>
        </w:rPr>
        <w:t>艾滋病病毒指人类免疫缺陷病毒，英文缩写为 </w:t>
      </w:r>
      <w:r>
        <w:rPr>
          <w:spacing w:val="-2"/>
          <w:sz w:val="22"/>
        </w:rPr>
        <w:t>HIV。艾滋病指人类免疫缺陷病毒引起的</w:t>
      </w:r>
      <w:r>
        <w:rPr>
          <w:spacing w:val="-3"/>
          <w:sz w:val="22"/>
        </w:rPr>
        <w:t>获得性免疫缺陷综合征，英文缩写为 </w:t>
      </w:r>
      <w:r>
        <w:rPr>
          <w:sz w:val="22"/>
        </w:rPr>
        <w:t>AIDS。</w:t>
      </w:r>
    </w:p>
    <w:p>
      <w:pPr>
        <w:spacing w:line="266" w:lineRule="auto" w:before="0"/>
        <w:ind w:left="238" w:right="1554" w:firstLine="0"/>
        <w:jc w:val="left"/>
        <w:rPr>
          <w:sz w:val="22"/>
        </w:rPr>
      </w:pPr>
      <w:r>
        <w:rPr>
          <w:spacing w:val="-2"/>
          <w:sz w:val="22"/>
        </w:rPr>
        <w:t>在人体血液或其他样本中检测到艾滋病病毒或其抗体呈阳性，没有出现临床症状或体征</w:t>
      </w:r>
      <w:r>
        <w:rPr>
          <w:spacing w:val="-2"/>
          <w:sz w:val="22"/>
        </w:rPr>
        <w:t>的，为感染艾滋病病毒；如果同时出现了明显临床症状或体征的，为患艾滋病。</w:t>
      </w:r>
    </w:p>
    <w:p>
      <w:pPr>
        <w:pStyle w:val="Heading3"/>
      </w:pPr>
      <w:r>
        <w:rPr>
          <w:w w:val="95"/>
        </w:rPr>
        <w:t>十</w:t>
      </w:r>
      <w:r>
        <w:rPr>
          <w:w w:val="95"/>
        </w:rPr>
        <w:t>三</w:t>
      </w:r>
      <w:r>
        <w:rPr>
          <w:w w:val="95"/>
        </w:rPr>
        <w:t>、</w:t>
      </w:r>
      <w:r>
        <w:rPr>
          <w:w w:val="95"/>
        </w:rPr>
        <w:t>遗</w:t>
      </w:r>
      <w:r>
        <w:rPr>
          <w:w w:val="95"/>
        </w:rPr>
        <w:t>传</w:t>
      </w:r>
      <w:r>
        <w:rPr>
          <w:w w:val="95"/>
        </w:rPr>
        <w:t>性</w:t>
      </w:r>
      <w:r>
        <w:rPr>
          <w:w w:val="95"/>
        </w:rPr>
        <w:t>疾</w:t>
      </w:r>
      <w:r>
        <w:rPr>
          <w:spacing w:val="-10"/>
          <w:w w:val="95"/>
        </w:rPr>
        <w:t>病</w:t>
      </w:r>
    </w:p>
    <w:p>
      <w:pPr>
        <w:spacing w:line="266" w:lineRule="auto" w:before="27"/>
        <w:ind w:left="238" w:right="1552" w:firstLine="0"/>
        <w:jc w:val="left"/>
        <w:rPr>
          <w:sz w:val="22"/>
        </w:rPr>
      </w:pPr>
      <w:r>
        <w:rPr>
          <w:spacing w:val="-2"/>
          <w:sz w:val="22"/>
        </w:rPr>
        <w:t>指生殖细胞或受精卵的遗传物质（染色体和基因）发生突变或畸变所引起的疾病，通常</w:t>
      </w:r>
      <w:r>
        <w:rPr>
          <w:spacing w:val="-2"/>
          <w:sz w:val="22"/>
        </w:rPr>
        <w:t>具有由亲代传至后代的垂直传递的特征。</w:t>
      </w:r>
    </w:p>
    <w:p>
      <w:pPr>
        <w:pStyle w:val="Heading3"/>
      </w:pPr>
      <w:r>
        <w:rPr>
          <w:w w:val="95"/>
        </w:rPr>
        <w:t>十</w:t>
      </w:r>
      <w:r>
        <w:rPr>
          <w:w w:val="95"/>
        </w:rPr>
        <w:t>四</w:t>
      </w:r>
      <w:r>
        <w:rPr>
          <w:w w:val="95"/>
        </w:rPr>
        <w:t>、</w:t>
      </w:r>
      <w:r>
        <w:rPr>
          <w:w w:val="95"/>
        </w:rPr>
        <w:t>先</w:t>
      </w:r>
      <w:r>
        <w:rPr>
          <w:w w:val="95"/>
        </w:rPr>
        <w:t>天</w:t>
      </w:r>
      <w:r>
        <w:rPr>
          <w:w w:val="95"/>
        </w:rPr>
        <w:t>性</w:t>
      </w:r>
      <w:r>
        <w:rPr>
          <w:w w:val="95"/>
        </w:rPr>
        <w:t>畸</w:t>
      </w:r>
      <w:r>
        <w:rPr>
          <w:w w:val="95"/>
        </w:rPr>
        <w:t>形</w:t>
      </w:r>
      <w:r>
        <w:rPr>
          <w:w w:val="95"/>
        </w:rPr>
        <w:t>、</w:t>
      </w:r>
      <w:r>
        <w:rPr>
          <w:w w:val="95"/>
        </w:rPr>
        <w:t>变</w:t>
      </w:r>
      <w:r>
        <w:rPr>
          <w:w w:val="95"/>
        </w:rPr>
        <w:t>形</w:t>
      </w:r>
      <w:r>
        <w:rPr>
          <w:w w:val="95"/>
        </w:rPr>
        <w:t>或</w:t>
      </w:r>
      <w:r>
        <w:rPr>
          <w:w w:val="95"/>
        </w:rPr>
        <w:t>染</w:t>
      </w:r>
      <w:r>
        <w:rPr>
          <w:w w:val="95"/>
        </w:rPr>
        <w:t>色</w:t>
      </w:r>
      <w:r>
        <w:rPr>
          <w:w w:val="95"/>
        </w:rPr>
        <w:t>体</w:t>
      </w:r>
      <w:r>
        <w:rPr>
          <w:w w:val="95"/>
        </w:rPr>
        <w:t>异</w:t>
      </w:r>
      <w:r>
        <w:rPr>
          <w:spacing w:val="-10"/>
          <w:w w:val="95"/>
        </w:rPr>
        <w:t>常</w:t>
      </w:r>
    </w:p>
    <w:p>
      <w:pPr>
        <w:spacing w:line="266" w:lineRule="auto" w:before="30"/>
        <w:ind w:left="238" w:right="1552" w:firstLine="0"/>
        <w:jc w:val="both"/>
        <w:rPr>
          <w:sz w:val="22"/>
        </w:rPr>
      </w:pPr>
      <w:r>
        <w:rPr>
          <w:spacing w:val="-2"/>
          <w:sz w:val="22"/>
        </w:rPr>
        <w:t>指被保险人出生时就具有的畸形、变形或染色体异常。先天性畸形、变形和染色体异常</w:t>
      </w:r>
      <w:r>
        <w:rPr>
          <w:spacing w:val="-2"/>
          <w:sz w:val="22"/>
        </w:rPr>
        <w:t>依照世界卫生组织《疾病和有关健康问题的国际统计分类》第十次修订版（ICD-10）确</w:t>
      </w:r>
      <w:r>
        <w:rPr>
          <w:spacing w:val="-6"/>
          <w:sz w:val="22"/>
        </w:rPr>
        <w:t>定。</w:t>
      </w:r>
    </w:p>
    <w:sectPr>
      <w:pgSz w:w="11910" w:h="16840"/>
      <w:pgMar w:header="0" w:footer="1005" w:top="1380" w:bottom="1200" w:left="1560" w:right="2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隶书">
    <w:altName w:val="隶书"/>
    <w:charset w:val="86"/>
    <w:family w:val="modern"/>
    <w:pitch w:val="fixed"/>
  </w:font>
  <w:font w:name="Calibri">
    <w:altName w:val="Calibri"/>
    <w:charset w:val="0"/>
    <w:family w:val="swiss"/>
    <w:pitch w:val="variable"/>
  </w:font>
  <w:font w:name="黑体">
    <w:altName w:val="黑体"/>
    <w:charset w:val="86"/>
    <w:family w:val="modern"/>
    <w:pitch w:val="fixed"/>
  </w:font>
  <w:font w:name="Dotum">
    <w:altName w:val="Dotum"/>
    <w:charset w:val="0"/>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rPr>
        <w:sz w:val="20"/>
      </w:rPr>
    </w:pPr>
    <w:r>
      <w:rPr/>
      <w:pict>
        <v:shapetype id="_x0000_t202" o:spt="202" coordsize="21600,21600" path="m,l,21600r21600,l21600,xe">
          <v:stroke joinstyle="miter"/>
          <v:path gradientshapeok="t" o:connecttype="rect"/>
        </v:shapetype>
        <v:shape style="position:absolute;margin-left:249.369995pt;margin-top:780.675964pt;width:78.7pt;height:12pt;mso-position-horizontal-relative:page;mso-position-vertical-relative:page;z-index:-17170432" type="#_x0000_t202" id="docshape1" filled="false" stroked="false">
          <v:textbox inset="0,0,0,0">
            <w:txbxContent>
              <w:p>
                <w:pPr>
                  <w:spacing w:before="0"/>
                  <w:ind w:left="20" w:right="0" w:firstLine="0"/>
                  <w:jc w:val="left"/>
                  <w:rPr>
                    <w:sz w:val="18"/>
                  </w:rPr>
                </w:pPr>
                <w:r>
                  <w:rPr>
                    <w:sz w:val="18"/>
                  </w:rPr>
                  <w:t>第 </w:t>
                </w:r>
                <w:r>
                  <w:rPr>
                    <w:rFonts w:ascii="Times New Roman" w:eastAsia="Times New Roman"/>
                    <w:sz w:val="18"/>
                  </w:rPr>
                  <w:fldChar w:fldCharType="begin"/>
                </w:r>
                <w:r>
                  <w:rPr>
                    <w:rFonts w:ascii="Times New Roman" w:eastAsia="Times New Roman"/>
                    <w:sz w:val="18"/>
                  </w:rPr>
                  <w:instrText> PAGE </w:instrText>
                </w:r>
                <w:r>
                  <w:rPr>
                    <w:rFonts w:ascii="Times New Roman" w:eastAsia="Times New Roman"/>
                    <w:sz w:val="18"/>
                  </w:rPr>
                  <w:fldChar w:fldCharType="separate"/>
                </w:r>
                <w:r>
                  <w:rPr>
                    <w:rFonts w:ascii="Times New Roman" w:eastAsia="Times New Roman"/>
                    <w:sz w:val="18"/>
                  </w:rPr>
                  <w:t>10</w:t>
                </w:r>
                <w:r>
                  <w:rPr>
                    <w:rFonts w:ascii="Times New Roman" w:eastAsia="Times New Roman"/>
                    <w:sz w:val="18"/>
                  </w:rPr>
                  <w:fldChar w:fldCharType="end"/>
                </w:r>
                <w:r>
                  <w:rPr>
                    <w:rFonts w:ascii="Times New Roman" w:eastAsia="Times New Roman"/>
                    <w:spacing w:val="45"/>
                    <w:sz w:val="18"/>
                  </w:rPr>
                  <w:t> </w:t>
                </w:r>
                <w:r>
                  <w:rPr>
                    <w:spacing w:val="-1"/>
                    <w:sz w:val="18"/>
                  </w:rPr>
                  <w:t>页 共 </w:t>
                </w:r>
                <w:r>
                  <w:rPr>
                    <w:rFonts w:ascii="Times New Roman" w:eastAsia="Times New Roman"/>
                    <w:sz w:val="18"/>
                  </w:rPr>
                  <w:fldChar w:fldCharType="begin"/>
                </w:r>
                <w:r>
                  <w:rPr>
                    <w:rFonts w:ascii="Times New Roman" w:eastAsia="Times New Roman"/>
                    <w:sz w:val="18"/>
                  </w:rPr>
                  <w:instrText> NUMPAGES </w:instrText>
                </w:r>
                <w:r>
                  <w:rPr>
                    <w:rFonts w:ascii="Times New Roman" w:eastAsia="Times New Roman"/>
                    <w:sz w:val="18"/>
                  </w:rPr>
                  <w:fldChar w:fldCharType="separate"/>
                </w:r>
                <w:r>
                  <w:rPr>
                    <w:rFonts w:ascii="Times New Roman" w:eastAsia="Times New Roman"/>
                    <w:sz w:val="18"/>
                  </w:rPr>
                  <w:t>54</w:t>
                </w:r>
                <w:r>
                  <w:rPr>
                    <w:rFonts w:ascii="Times New Roman" w:eastAsia="Times New Roman"/>
                    <w:sz w:val="18"/>
                  </w:rPr>
                  <w:fldChar w:fldCharType="end"/>
                </w:r>
                <w:r>
                  <w:rPr>
                    <w:rFonts w:ascii="Times New Roman" w:eastAsia="Times New Roman"/>
                    <w:spacing w:val="47"/>
                    <w:sz w:val="18"/>
                  </w:rPr>
                  <w:t> </w:t>
                </w:r>
                <w:r>
                  <w:rPr>
                    <w:spacing w:val="-10"/>
                    <w:sz w:val="18"/>
                  </w:rPr>
                  <w:t>页</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22">
    <w:multiLevelType w:val="hybridMultilevel"/>
    <w:lvl w:ilvl="0">
      <w:start w:val="0"/>
      <w:numFmt w:val="decimal"/>
      <w:lvlText w:val="%1"/>
      <w:lvlJc w:val="left"/>
      <w:pPr>
        <w:ind w:left="458" w:hanging="221"/>
        <w:jc w:val="left"/>
      </w:pPr>
      <w:rPr>
        <w:rFonts w:hint="default" w:ascii="宋体" w:hAnsi="宋体" w:eastAsia="宋体" w:cs="宋体"/>
        <w:b w:val="0"/>
        <w:bCs w:val="0"/>
        <w:i w:val="0"/>
        <w:iCs w:val="0"/>
        <w:w w:val="100"/>
        <w:sz w:val="22"/>
        <w:szCs w:val="22"/>
        <w:lang w:val="en-US" w:eastAsia="zh-CN" w:bidi="ar-SA"/>
      </w:rPr>
    </w:lvl>
    <w:lvl w:ilvl="1">
      <w:start w:val="0"/>
      <w:numFmt w:val="bullet"/>
      <w:lvlText w:val="•"/>
      <w:lvlJc w:val="left"/>
      <w:pPr>
        <w:ind w:left="1424" w:hanging="221"/>
      </w:pPr>
      <w:rPr>
        <w:rFonts w:hint="default"/>
        <w:lang w:val="en-US" w:eastAsia="zh-CN" w:bidi="ar-SA"/>
      </w:rPr>
    </w:lvl>
    <w:lvl w:ilvl="2">
      <w:start w:val="0"/>
      <w:numFmt w:val="bullet"/>
      <w:lvlText w:val="•"/>
      <w:lvlJc w:val="left"/>
      <w:pPr>
        <w:ind w:left="2389" w:hanging="221"/>
      </w:pPr>
      <w:rPr>
        <w:rFonts w:hint="default"/>
        <w:lang w:val="en-US" w:eastAsia="zh-CN" w:bidi="ar-SA"/>
      </w:rPr>
    </w:lvl>
    <w:lvl w:ilvl="3">
      <w:start w:val="0"/>
      <w:numFmt w:val="bullet"/>
      <w:lvlText w:val="•"/>
      <w:lvlJc w:val="left"/>
      <w:pPr>
        <w:ind w:left="3353" w:hanging="221"/>
      </w:pPr>
      <w:rPr>
        <w:rFonts w:hint="default"/>
        <w:lang w:val="en-US" w:eastAsia="zh-CN" w:bidi="ar-SA"/>
      </w:rPr>
    </w:lvl>
    <w:lvl w:ilvl="4">
      <w:start w:val="0"/>
      <w:numFmt w:val="bullet"/>
      <w:lvlText w:val="•"/>
      <w:lvlJc w:val="left"/>
      <w:pPr>
        <w:ind w:left="4318" w:hanging="221"/>
      </w:pPr>
      <w:rPr>
        <w:rFonts w:hint="default"/>
        <w:lang w:val="en-US" w:eastAsia="zh-CN" w:bidi="ar-SA"/>
      </w:rPr>
    </w:lvl>
    <w:lvl w:ilvl="5">
      <w:start w:val="0"/>
      <w:numFmt w:val="bullet"/>
      <w:lvlText w:val="•"/>
      <w:lvlJc w:val="left"/>
      <w:pPr>
        <w:ind w:left="5283" w:hanging="221"/>
      </w:pPr>
      <w:rPr>
        <w:rFonts w:hint="default"/>
        <w:lang w:val="en-US" w:eastAsia="zh-CN" w:bidi="ar-SA"/>
      </w:rPr>
    </w:lvl>
    <w:lvl w:ilvl="6">
      <w:start w:val="0"/>
      <w:numFmt w:val="bullet"/>
      <w:lvlText w:val="•"/>
      <w:lvlJc w:val="left"/>
      <w:pPr>
        <w:ind w:left="6247" w:hanging="221"/>
      </w:pPr>
      <w:rPr>
        <w:rFonts w:hint="default"/>
        <w:lang w:val="en-US" w:eastAsia="zh-CN" w:bidi="ar-SA"/>
      </w:rPr>
    </w:lvl>
    <w:lvl w:ilvl="7">
      <w:start w:val="0"/>
      <w:numFmt w:val="bullet"/>
      <w:lvlText w:val="•"/>
      <w:lvlJc w:val="left"/>
      <w:pPr>
        <w:ind w:left="7212" w:hanging="221"/>
      </w:pPr>
      <w:rPr>
        <w:rFonts w:hint="default"/>
        <w:lang w:val="en-US" w:eastAsia="zh-CN" w:bidi="ar-SA"/>
      </w:rPr>
    </w:lvl>
    <w:lvl w:ilvl="8">
      <w:start w:val="0"/>
      <w:numFmt w:val="bullet"/>
      <w:lvlText w:val="•"/>
      <w:lvlJc w:val="left"/>
      <w:pPr>
        <w:ind w:left="8177" w:hanging="221"/>
      </w:pPr>
      <w:rPr>
        <w:rFonts w:hint="default"/>
        <w:lang w:val="en-US" w:eastAsia="zh-CN" w:bidi="ar-SA"/>
      </w:rPr>
    </w:lvl>
  </w:abstractNum>
  <w:abstractNum w:abstractNumId="121">
    <w:multiLevelType w:val="hybridMultilevel"/>
    <w:lvl w:ilvl="0">
      <w:start w:val="1"/>
      <w:numFmt w:val="decimal"/>
      <w:lvlText w:val="（%1）"/>
      <w:lvlJc w:val="left"/>
      <w:pPr>
        <w:ind w:left="791" w:hanging="553"/>
        <w:jc w:val="left"/>
      </w:pPr>
      <w:rPr>
        <w:rFonts w:hint="default" w:ascii="宋体" w:hAnsi="宋体" w:eastAsia="宋体" w:cs="宋体"/>
        <w:b w:val="0"/>
        <w:bCs w:val="0"/>
        <w:i w:val="0"/>
        <w:iCs w:val="0"/>
        <w:spacing w:val="-1"/>
        <w:w w:val="100"/>
        <w:sz w:val="20"/>
        <w:szCs w:val="20"/>
        <w:lang w:val="en-US" w:eastAsia="zh-CN" w:bidi="ar-SA"/>
      </w:rPr>
    </w:lvl>
    <w:lvl w:ilvl="1">
      <w:start w:val="0"/>
      <w:numFmt w:val="bullet"/>
      <w:lvlText w:val="•"/>
      <w:lvlJc w:val="left"/>
      <w:pPr>
        <w:ind w:left="1730" w:hanging="553"/>
      </w:pPr>
      <w:rPr>
        <w:rFonts w:hint="default"/>
        <w:lang w:val="en-US" w:eastAsia="zh-CN" w:bidi="ar-SA"/>
      </w:rPr>
    </w:lvl>
    <w:lvl w:ilvl="2">
      <w:start w:val="0"/>
      <w:numFmt w:val="bullet"/>
      <w:lvlText w:val="•"/>
      <w:lvlJc w:val="left"/>
      <w:pPr>
        <w:ind w:left="2661" w:hanging="553"/>
      </w:pPr>
      <w:rPr>
        <w:rFonts w:hint="default"/>
        <w:lang w:val="en-US" w:eastAsia="zh-CN" w:bidi="ar-SA"/>
      </w:rPr>
    </w:lvl>
    <w:lvl w:ilvl="3">
      <w:start w:val="0"/>
      <w:numFmt w:val="bullet"/>
      <w:lvlText w:val="•"/>
      <w:lvlJc w:val="left"/>
      <w:pPr>
        <w:ind w:left="3591" w:hanging="553"/>
      </w:pPr>
      <w:rPr>
        <w:rFonts w:hint="default"/>
        <w:lang w:val="en-US" w:eastAsia="zh-CN" w:bidi="ar-SA"/>
      </w:rPr>
    </w:lvl>
    <w:lvl w:ilvl="4">
      <w:start w:val="0"/>
      <w:numFmt w:val="bullet"/>
      <w:lvlText w:val="•"/>
      <w:lvlJc w:val="left"/>
      <w:pPr>
        <w:ind w:left="4522" w:hanging="553"/>
      </w:pPr>
      <w:rPr>
        <w:rFonts w:hint="default"/>
        <w:lang w:val="en-US" w:eastAsia="zh-CN" w:bidi="ar-SA"/>
      </w:rPr>
    </w:lvl>
    <w:lvl w:ilvl="5">
      <w:start w:val="0"/>
      <w:numFmt w:val="bullet"/>
      <w:lvlText w:val="•"/>
      <w:lvlJc w:val="left"/>
      <w:pPr>
        <w:ind w:left="5453" w:hanging="553"/>
      </w:pPr>
      <w:rPr>
        <w:rFonts w:hint="default"/>
        <w:lang w:val="en-US" w:eastAsia="zh-CN" w:bidi="ar-SA"/>
      </w:rPr>
    </w:lvl>
    <w:lvl w:ilvl="6">
      <w:start w:val="0"/>
      <w:numFmt w:val="bullet"/>
      <w:lvlText w:val="•"/>
      <w:lvlJc w:val="left"/>
      <w:pPr>
        <w:ind w:left="6383" w:hanging="553"/>
      </w:pPr>
      <w:rPr>
        <w:rFonts w:hint="default"/>
        <w:lang w:val="en-US" w:eastAsia="zh-CN" w:bidi="ar-SA"/>
      </w:rPr>
    </w:lvl>
    <w:lvl w:ilvl="7">
      <w:start w:val="0"/>
      <w:numFmt w:val="bullet"/>
      <w:lvlText w:val="•"/>
      <w:lvlJc w:val="left"/>
      <w:pPr>
        <w:ind w:left="7314" w:hanging="553"/>
      </w:pPr>
      <w:rPr>
        <w:rFonts w:hint="default"/>
        <w:lang w:val="en-US" w:eastAsia="zh-CN" w:bidi="ar-SA"/>
      </w:rPr>
    </w:lvl>
    <w:lvl w:ilvl="8">
      <w:start w:val="0"/>
      <w:numFmt w:val="bullet"/>
      <w:lvlText w:val="•"/>
      <w:lvlJc w:val="left"/>
      <w:pPr>
        <w:ind w:left="8245" w:hanging="553"/>
      </w:pPr>
      <w:rPr>
        <w:rFonts w:hint="default"/>
        <w:lang w:val="en-US" w:eastAsia="zh-CN" w:bidi="ar-SA"/>
      </w:rPr>
    </w:lvl>
  </w:abstractNum>
  <w:abstractNum w:abstractNumId="120">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119">
    <w:multiLevelType w:val="hybridMultilevel"/>
    <w:lvl w:ilvl="0">
      <w:start w:val="1"/>
      <w:numFmt w:val="decimal"/>
      <w:lvlText w:val="（%1）"/>
      <w:lvlJc w:val="left"/>
      <w:pPr>
        <w:ind w:left="238" w:hanging="529"/>
        <w:jc w:val="left"/>
      </w:pPr>
      <w:rPr>
        <w:rFonts w:hint="default" w:ascii="宋体" w:hAnsi="宋体" w:eastAsia="宋体" w:cs="宋体"/>
        <w:b w:val="0"/>
        <w:bCs w:val="0"/>
        <w:i w:val="0"/>
        <w:iCs w:val="0"/>
        <w:spacing w:val="-25"/>
        <w:w w:val="100"/>
        <w:sz w:val="19"/>
        <w:szCs w:val="19"/>
        <w:lang w:val="en-US" w:eastAsia="zh-CN" w:bidi="ar-SA"/>
      </w:rPr>
    </w:lvl>
    <w:lvl w:ilvl="1">
      <w:start w:val="0"/>
      <w:numFmt w:val="bullet"/>
      <w:lvlText w:val="•"/>
      <w:lvlJc w:val="left"/>
      <w:pPr>
        <w:ind w:left="1226" w:hanging="529"/>
      </w:pPr>
      <w:rPr>
        <w:rFonts w:hint="default"/>
        <w:lang w:val="en-US" w:eastAsia="zh-CN" w:bidi="ar-SA"/>
      </w:rPr>
    </w:lvl>
    <w:lvl w:ilvl="2">
      <w:start w:val="0"/>
      <w:numFmt w:val="bullet"/>
      <w:lvlText w:val="•"/>
      <w:lvlJc w:val="left"/>
      <w:pPr>
        <w:ind w:left="2213" w:hanging="529"/>
      </w:pPr>
      <w:rPr>
        <w:rFonts w:hint="default"/>
        <w:lang w:val="en-US" w:eastAsia="zh-CN" w:bidi="ar-SA"/>
      </w:rPr>
    </w:lvl>
    <w:lvl w:ilvl="3">
      <w:start w:val="0"/>
      <w:numFmt w:val="bullet"/>
      <w:lvlText w:val="•"/>
      <w:lvlJc w:val="left"/>
      <w:pPr>
        <w:ind w:left="3199" w:hanging="529"/>
      </w:pPr>
      <w:rPr>
        <w:rFonts w:hint="default"/>
        <w:lang w:val="en-US" w:eastAsia="zh-CN" w:bidi="ar-SA"/>
      </w:rPr>
    </w:lvl>
    <w:lvl w:ilvl="4">
      <w:start w:val="0"/>
      <w:numFmt w:val="bullet"/>
      <w:lvlText w:val="•"/>
      <w:lvlJc w:val="left"/>
      <w:pPr>
        <w:ind w:left="4186" w:hanging="529"/>
      </w:pPr>
      <w:rPr>
        <w:rFonts w:hint="default"/>
        <w:lang w:val="en-US" w:eastAsia="zh-CN" w:bidi="ar-SA"/>
      </w:rPr>
    </w:lvl>
    <w:lvl w:ilvl="5">
      <w:start w:val="0"/>
      <w:numFmt w:val="bullet"/>
      <w:lvlText w:val="•"/>
      <w:lvlJc w:val="left"/>
      <w:pPr>
        <w:ind w:left="5173" w:hanging="529"/>
      </w:pPr>
      <w:rPr>
        <w:rFonts w:hint="default"/>
        <w:lang w:val="en-US" w:eastAsia="zh-CN" w:bidi="ar-SA"/>
      </w:rPr>
    </w:lvl>
    <w:lvl w:ilvl="6">
      <w:start w:val="0"/>
      <w:numFmt w:val="bullet"/>
      <w:lvlText w:val="•"/>
      <w:lvlJc w:val="left"/>
      <w:pPr>
        <w:ind w:left="6159" w:hanging="529"/>
      </w:pPr>
      <w:rPr>
        <w:rFonts w:hint="default"/>
        <w:lang w:val="en-US" w:eastAsia="zh-CN" w:bidi="ar-SA"/>
      </w:rPr>
    </w:lvl>
    <w:lvl w:ilvl="7">
      <w:start w:val="0"/>
      <w:numFmt w:val="bullet"/>
      <w:lvlText w:val="•"/>
      <w:lvlJc w:val="left"/>
      <w:pPr>
        <w:ind w:left="7146" w:hanging="529"/>
      </w:pPr>
      <w:rPr>
        <w:rFonts w:hint="default"/>
        <w:lang w:val="en-US" w:eastAsia="zh-CN" w:bidi="ar-SA"/>
      </w:rPr>
    </w:lvl>
    <w:lvl w:ilvl="8">
      <w:start w:val="0"/>
      <w:numFmt w:val="bullet"/>
      <w:lvlText w:val="•"/>
      <w:lvlJc w:val="left"/>
      <w:pPr>
        <w:ind w:left="8133" w:hanging="529"/>
      </w:pPr>
      <w:rPr>
        <w:rFonts w:hint="default"/>
        <w:lang w:val="en-US" w:eastAsia="zh-CN" w:bidi="ar-SA"/>
      </w:rPr>
    </w:lvl>
  </w:abstractNum>
  <w:abstractNum w:abstractNumId="118">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117">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116">
    <w:multiLevelType w:val="hybridMultilevel"/>
    <w:lvl w:ilvl="0">
      <w:start w:val="1"/>
      <w:numFmt w:val="lowerLetter"/>
      <w:lvlText w:val="%1."/>
      <w:lvlJc w:val="left"/>
      <w:pPr>
        <w:ind w:left="238" w:hanging="214"/>
        <w:jc w:val="left"/>
      </w:pPr>
      <w:rPr>
        <w:rFonts w:hint="default" w:ascii="宋体" w:hAnsi="宋体" w:eastAsia="宋体" w:cs="宋体"/>
        <w:b/>
        <w:bCs/>
        <w:i w:val="0"/>
        <w:iCs w:val="0"/>
        <w:w w:val="99"/>
        <w:sz w:val="19"/>
        <w:szCs w:val="19"/>
        <w:lang w:val="en-US" w:eastAsia="zh-CN" w:bidi="ar-SA"/>
      </w:rPr>
    </w:lvl>
    <w:lvl w:ilvl="1">
      <w:start w:val="0"/>
      <w:numFmt w:val="bullet"/>
      <w:lvlText w:val="•"/>
      <w:lvlJc w:val="left"/>
      <w:pPr>
        <w:ind w:left="1226" w:hanging="214"/>
      </w:pPr>
      <w:rPr>
        <w:rFonts w:hint="default"/>
        <w:lang w:val="en-US" w:eastAsia="zh-CN" w:bidi="ar-SA"/>
      </w:rPr>
    </w:lvl>
    <w:lvl w:ilvl="2">
      <w:start w:val="0"/>
      <w:numFmt w:val="bullet"/>
      <w:lvlText w:val="•"/>
      <w:lvlJc w:val="left"/>
      <w:pPr>
        <w:ind w:left="2213" w:hanging="214"/>
      </w:pPr>
      <w:rPr>
        <w:rFonts w:hint="default"/>
        <w:lang w:val="en-US" w:eastAsia="zh-CN" w:bidi="ar-SA"/>
      </w:rPr>
    </w:lvl>
    <w:lvl w:ilvl="3">
      <w:start w:val="0"/>
      <w:numFmt w:val="bullet"/>
      <w:lvlText w:val="•"/>
      <w:lvlJc w:val="left"/>
      <w:pPr>
        <w:ind w:left="3199" w:hanging="214"/>
      </w:pPr>
      <w:rPr>
        <w:rFonts w:hint="default"/>
        <w:lang w:val="en-US" w:eastAsia="zh-CN" w:bidi="ar-SA"/>
      </w:rPr>
    </w:lvl>
    <w:lvl w:ilvl="4">
      <w:start w:val="0"/>
      <w:numFmt w:val="bullet"/>
      <w:lvlText w:val="•"/>
      <w:lvlJc w:val="left"/>
      <w:pPr>
        <w:ind w:left="4186" w:hanging="214"/>
      </w:pPr>
      <w:rPr>
        <w:rFonts w:hint="default"/>
        <w:lang w:val="en-US" w:eastAsia="zh-CN" w:bidi="ar-SA"/>
      </w:rPr>
    </w:lvl>
    <w:lvl w:ilvl="5">
      <w:start w:val="0"/>
      <w:numFmt w:val="bullet"/>
      <w:lvlText w:val="•"/>
      <w:lvlJc w:val="left"/>
      <w:pPr>
        <w:ind w:left="5173" w:hanging="214"/>
      </w:pPr>
      <w:rPr>
        <w:rFonts w:hint="default"/>
        <w:lang w:val="en-US" w:eastAsia="zh-CN" w:bidi="ar-SA"/>
      </w:rPr>
    </w:lvl>
    <w:lvl w:ilvl="6">
      <w:start w:val="0"/>
      <w:numFmt w:val="bullet"/>
      <w:lvlText w:val="•"/>
      <w:lvlJc w:val="left"/>
      <w:pPr>
        <w:ind w:left="6159" w:hanging="214"/>
      </w:pPr>
      <w:rPr>
        <w:rFonts w:hint="default"/>
        <w:lang w:val="en-US" w:eastAsia="zh-CN" w:bidi="ar-SA"/>
      </w:rPr>
    </w:lvl>
    <w:lvl w:ilvl="7">
      <w:start w:val="0"/>
      <w:numFmt w:val="bullet"/>
      <w:lvlText w:val="•"/>
      <w:lvlJc w:val="left"/>
      <w:pPr>
        <w:ind w:left="7146" w:hanging="214"/>
      </w:pPr>
      <w:rPr>
        <w:rFonts w:hint="default"/>
        <w:lang w:val="en-US" w:eastAsia="zh-CN" w:bidi="ar-SA"/>
      </w:rPr>
    </w:lvl>
    <w:lvl w:ilvl="8">
      <w:start w:val="0"/>
      <w:numFmt w:val="bullet"/>
      <w:lvlText w:val="•"/>
      <w:lvlJc w:val="left"/>
      <w:pPr>
        <w:ind w:left="8133" w:hanging="214"/>
      </w:pPr>
      <w:rPr>
        <w:rFonts w:hint="default"/>
        <w:lang w:val="en-US" w:eastAsia="zh-CN" w:bidi="ar-SA"/>
      </w:rPr>
    </w:lvl>
  </w:abstractNum>
  <w:abstractNum w:abstractNumId="115">
    <w:multiLevelType w:val="hybridMultilevel"/>
    <w:lvl w:ilvl="0">
      <w:start w:val="1"/>
      <w:numFmt w:val="decimal"/>
      <w:lvlText w:val="（%1）"/>
      <w:lvlJc w:val="left"/>
      <w:pPr>
        <w:ind w:left="238" w:hanging="529"/>
        <w:jc w:val="left"/>
      </w:pPr>
      <w:rPr>
        <w:rFonts w:hint="default" w:ascii="宋体" w:hAnsi="宋体" w:eastAsia="宋体" w:cs="宋体"/>
        <w:b/>
        <w:bCs/>
        <w:i w:val="0"/>
        <w:iCs w:val="0"/>
        <w:spacing w:val="-1"/>
        <w:w w:val="99"/>
        <w:sz w:val="19"/>
        <w:szCs w:val="19"/>
        <w:lang w:val="en-US" w:eastAsia="zh-CN" w:bidi="ar-SA"/>
      </w:rPr>
    </w:lvl>
    <w:lvl w:ilvl="1">
      <w:start w:val="0"/>
      <w:numFmt w:val="bullet"/>
      <w:lvlText w:val="•"/>
      <w:lvlJc w:val="left"/>
      <w:pPr>
        <w:ind w:left="1226" w:hanging="529"/>
      </w:pPr>
      <w:rPr>
        <w:rFonts w:hint="default"/>
        <w:lang w:val="en-US" w:eastAsia="zh-CN" w:bidi="ar-SA"/>
      </w:rPr>
    </w:lvl>
    <w:lvl w:ilvl="2">
      <w:start w:val="0"/>
      <w:numFmt w:val="bullet"/>
      <w:lvlText w:val="•"/>
      <w:lvlJc w:val="left"/>
      <w:pPr>
        <w:ind w:left="2213" w:hanging="529"/>
      </w:pPr>
      <w:rPr>
        <w:rFonts w:hint="default"/>
        <w:lang w:val="en-US" w:eastAsia="zh-CN" w:bidi="ar-SA"/>
      </w:rPr>
    </w:lvl>
    <w:lvl w:ilvl="3">
      <w:start w:val="0"/>
      <w:numFmt w:val="bullet"/>
      <w:lvlText w:val="•"/>
      <w:lvlJc w:val="left"/>
      <w:pPr>
        <w:ind w:left="3199" w:hanging="529"/>
      </w:pPr>
      <w:rPr>
        <w:rFonts w:hint="default"/>
        <w:lang w:val="en-US" w:eastAsia="zh-CN" w:bidi="ar-SA"/>
      </w:rPr>
    </w:lvl>
    <w:lvl w:ilvl="4">
      <w:start w:val="0"/>
      <w:numFmt w:val="bullet"/>
      <w:lvlText w:val="•"/>
      <w:lvlJc w:val="left"/>
      <w:pPr>
        <w:ind w:left="4186" w:hanging="529"/>
      </w:pPr>
      <w:rPr>
        <w:rFonts w:hint="default"/>
        <w:lang w:val="en-US" w:eastAsia="zh-CN" w:bidi="ar-SA"/>
      </w:rPr>
    </w:lvl>
    <w:lvl w:ilvl="5">
      <w:start w:val="0"/>
      <w:numFmt w:val="bullet"/>
      <w:lvlText w:val="•"/>
      <w:lvlJc w:val="left"/>
      <w:pPr>
        <w:ind w:left="5173" w:hanging="529"/>
      </w:pPr>
      <w:rPr>
        <w:rFonts w:hint="default"/>
        <w:lang w:val="en-US" w:eastAsia="zh-CN" w:bidi="ar-SA"/>
      </w:rPr>
    </w:lvl>
    <w:lvl w:ilvl="6">
      <w:start w:val="0"/>
      <w:numFmt w:val="bullet"/>
      <w:lvlText w:val="•"/>
      <w:lvlJc w:val="left"/>
      <w:pPr>
        <w:ind w:left="6159" w:hanging="529"/>
      </w:pPr>
      <w:rPr>
        <w:rFonts w:hint="default"/>
        <w:lang w:val="en-US" w:eastAsia="zh-CN" w:bidi="ar-SA"/>
      </w:rPr>
    </w:lvl>
    <w:lvl w:ilvl="7">
      <w:start w:val="0"/>
      <w:numFmt w:val="bullet"/>
      <w:lvlText w:val="•"/>
      <w:lvlJc w:val="left"/>
      <w:pPr>
        <w:ind w:left="7146" w:hanging="529"/>
      </w:pPr>
      <w:rPr>
        <w:rFonts w:hint="default"/>
        <w:lang w:val="en-US" w:eastAsia="zh-CN" w:bidi="ar-SA"/>
      </w:rPr>
    </w:lvl>
    <w:lvl w:ilvl="8">
      <w:start w:val="0"/>
      <w:numFmt w:val="bullet"/>
      <w:lvlText w:val="•"/>
      <w:lvlJc w:val="left"/>
      <w:pPr>
        <w:ind w:left="8133" w:hanging="529"/>
      </w:pPr>
      <w:rPr>
        <w:rFonts w:hint="default"/>
        <w:lang w:val="en-US" w:eastAsia="zh-CN" w:bidi="ar-SA"/>
      </w:rPr>
    </w:lvl>
  </w:abstractNum>
  <w:abstractNum w:abstractNumId="114">
    <w:multiLevelType w:val="hybridMultilevel"/>
    <w:lvl w:ilvl="0">
      <w:start w:val="1"/>
      <w:numFmt w:val="lowerLetter"/>
      <w:lvlText w:val="%1."/>
      <w:lvlJc w:val="left"/>
      <w:pPr>
        <w:ind w:left="238" w:hanging="214"/>
        <w:jc w:val="left"/>
      </w:pPr>
      <w:rPr>
        <w:rFonts w:hint="default" w:ascii="宋体" w:hAnsi="宋体" w:eastAsia="宋体" w:cs="宋体"/>
        <w:b/>
        <w:bCs/>
        <w:i w:val="0"/>
        <w:iCs w:val="0"/>
        <w:w w:val="99"/>
        <w:sz w:val="19"/>
        <w:szCs w:val="19"/>
        <w:lang w:val="en-US" w:eastAsia="zh-CN" w:bidi="ar-SA"/>
      </w:rPr>
    </w:lvl>
    <w:lvl w:ilvl="1">
      <w:start w:val="0"/>
      <w:numFmt w:val="bullet"/>
      <w:lvlText w:val="•"/>
      <w:lvlJc w:val="left"/>
      <w:pPr>
        <w:ind w:left="1226" w:hanging="214"/>
      </w:pPr>
      <w:rPr>
        <w:rFonts w:hint="default"/>
        <w:lang w:val="en-US" w:eastAsia="zh-CN" w:bidi="ar-SA"/>
      </w:rPr>
    </w:lvl>
    <w:lvl w:ilvl="2">
      <w:start w:val="0"/>
      <w:numFmt w:val="bullet"/>
      <w:lvlText w:val="•"/>
      <w:lvlJc w:val="left"/>
      <w:pPr>
        <w:ind w:left="2213" w:hanging="214"/>
      </w:pPr>
      <w:rPr>
        <w:rFonts w:hint="default"/>
        <w:lang w:val="en-US" w:eastAsia="zh-CN" w:bidi="ar-SA"/>
      </w:rPr>
    </w:lvl>
    <w:lvl w:ilvl="3">
      <w:start w:val="0"/>
      <w:numFmt w:val="bullet"/>
      <w:lvlText w:val="•"/>
      <w:lvlJc w:val="left"/>
      <w:pPr>
        <w:ind w:left="3199" w:hanging="214"/>
      </w:pPr>
      <w:rPr>
        <w:rFonts w:hint="default"/>
        <w:lang w:val="en-US" w:eastAsia="zh-CN" w:bidi="ar-SA"/>
      </w:rPr>
    </w:lvl>
    <w:lvl w:ilvl="4">
      <w:start w:val="0"/>
      <w:numFmt w:val="bullet"/>
      <w:lvlText w:val="•"/>
      <w:lvlJc w:val="left"/>
      <w:pPr>
        <w:ind w:left="4186" w:hanging="214"/>
      </w:pPr>
      <w:rPr>
        <w:rFonts w:hint="default"/>
        <w:lang w:val="en-US" w:eastAsia="zh-CN" w:bidi="ar-SA"/>
      </w:rPr>
    </w:lvl>
    <w:lvl w:ilvl="5">
      <w:start w:val="0"/>
      <w:numFmt w:val="bullet"/>
      <w:lvlText w:val="•"/>
      <w:lvlJc w:val="left"/>
      <w:pPr>
        <w:ind w:left="5173" w:hanging="214"/>
      </w:pPr>
      <w:rPr>
        <w:rFonts w:hint="default"/>
        <w:lang w:val="en-US" w:eastAsia="zh-CN" w:bidi="ar-SA"/>
      </w:rPr>
    </w:lvl>
    <w:lvl w:ilvl="6">
      <w:start w:val="0"/>
      <w:numFmt w:val="bullet"/>
      <w:lvlText w:val="•"/>
      <w:lvlJc w:val="left"/>
      <w:pPr>
        <w:ind w:left="6159" w:hanging="214"/>
      </w:pPr>
      <w:rPr>
        <w:rFonts w:hint="default"/>
        <w:lang w:val="en-US" w:eastAsia="zh-CN" w:bidi="ar-SA"/>
      </w:rPr>
    </w:lvl>
    <w:lvl w:ilvl="7">
      <w:start w:val="0"/>
      <w:numFmt w:val="bullet"/>
      <w:lvlText w:val="•"/>
      <w:lvlJc w:val="left"/>
      <w:pPr>
        <w:ind w:left="7146" w:hanging="214"/>
      </w:pPr>
      <w:rPr>
        <w:rFonts w:hint="default"/>
        <w:lang w:val="en-US" w:eastAsia="zh-CN" w:bidi="ar-SA"/>
      </w:rPr>
    </w:lvl>
    <w:lvl w:ilvl="8">
      <w:start w:val="0"/>
      <w:numFmt w:val="bullet"/>
      <w:lvlText w:val="•"/>
      <w:lvlJc w:val="left"/>
      <w:pPr>
        <w:ind w:left="8133" w:hanging="214"/>
      </w:pPr>
      <w:rPr>
        <w:rFonts w:hint="default"/>
        <w:lang w:val="en-US" w:eastAsia="zh-CN" w:bidi="ar-SA"/>
      </w:rPr>
    </w:lvl>
  </w:abstractNum>
  <w:abstractNum w:abstractNumId="113">
    <w:multiLevelType w:val="hybridMultilevel"/>
    <w:lvl w:ilvl="0">
      <w:start w:val="1"/>
      <w:numFmt w:val="decimal"/>
      <w:lvlText w:val="（%1）"/>
      <w:lvlJc w:val="left"/>
      <w:pPr>
        <w:ind w:left="238" w:hanging="529"/>
        <w:jc w:val="left"/>
      </w:pPr>
      <w:rPr>
        <w:rFonts w:hint="default" w:ascii="宋体" w:hAnsi="宋体" w:eastAsia="宋体" w:cs="宋体"/>
        <w:b/>
        <w:bCs/>
        <w:i w:val="0"/>
        <w:iCs w:val="0"/>
        <w:spacing w:val="-1"/>
        <w:w w:val="99"/>
        <w:sz w:val="19"/>
        <w:szCs w:val="19"/>
        <w:lang w:val="en-US" w:eastAsia="zh-CN" w:bidi="ar-SA"/>
      </w:rPr>
    </w:lvl>
    <w:lvl w:ilvl="1">
      <w:start w:val="0"/>
      <w:numFmt w:val="bullet"/>
      <w:lvlText w:val="•"/>
      <w:lvlJc w:val="left"/>
      <w:pPr>
        <w:ind w:left="1226" w:hanging="529"/>
      </w:pPr>
      <w:rPr>
        <w:rFonts w:hint="default"/>
        <w:lang w:val="en-US" w:eastAsia="zh-CN" w:bidi="ar-SA"/>
      </w:rPr>
    </w:lvl>
    <w:lvl w:ilvl="2">
      <w:start w:val="0"/>
      <w:numFmt w:val="bullet"/>
      <w:lvlText w:val="•"/>
      <w:lvlJc w:val="left"/>
      <w:pPr>
        <w:ind w:left="2213" w:hanging="529"/>
      </w:pPr>
      <w:rPr>
        <w:rFonts w:hint="default"/>
        <w:lang w:val="en-US" w:eastAsia="zh-CN" w:bidi="ar-SA"/>
      </w:rPr>
    </w:lvl>
    <w:lvl w:ilvl="3">
      <w:start w:val="0"/>
      <w:numFmt w:val="bullet"/>
      <w:lvlText w:val="•"/>
      <w:lvlJc w:val="left"/>
      <w:pPr>
        <w:ind w:left="3199" w:hanging="529"/>
      </w:pPr>
      <w:rPr>
        <w:rFonts w:hint="default"/>
        <w:lang w:val="en-US" w:eastAsia="zh-CN" w:bidi="ar-SA"/>
      </w:rPr>
    </w:lvl>
    <w:lvl w:ilvl="4">
      <w:start w:val="0"/>
      <w:numFmt w:val="bullet"/>
      <w:lvlText w:val="•"/>
      <w:lvlJc w:val="left"/>
      <w:pPr>
        <w:ind w:left="4186" w:hanging="529"/>
      </w:pPr>
      <w:rPr>
        <w:rFonts w:hint="default"/>
        <w:lang w:val="en-US" w:eastAsia="zh-CN" w:bidi="ar-SA"/>
      </w:rPr>
    </w:lvl>
    <w:lvl w:ilvl="5">
      <w:start w:val="0"/>
      <w:numFmt w:val="bullet"/>
      <w:lvlText w:val="•"/>
      <w:lvlJc w:val="left"/>
      <w:pPr>
        <w:ind w:left="5173" w:hanging="529"/>
      </w:pPr>
      <w:rPr>
        <w:rFonts w:hint="default"/>
        <w:lang w:val="en-US" w:eastAsia="zh-CN" w:bidi="ar-SA"/>
      </w:rPr>
    </w:lvl>
    <w:lvl w:ilvl="6">
      <w:start w:val="0"/>
      <w:numFmt w:val="bullet"/>
      <w:lvlText w:val="•"/>
      <w:lvlJc w:val="left"/>
      <w:pPr>
        <w:ind w:left="6159" w:hanging="529"/>
      </w:pPr>
      <w:rPr>
        <w:rFonts w:hint="default"/>
        <w:lang w:val="en-US" w:eastAsia="zh-CN" w:bidi="ar-SA"/>
      </w:rPr>
    </w:lvl>
    <w:lvl w:ilvl="7">
      <w:start w:val="0"/>
      <w:numFmt w:val="bullet"/>
      <w:lvlText w:val="•"/>
      <w:lvlJc w:val="left"/>
      <w:pPr>
        <w:ind w:left="7146" w:hanging="529"/>
      </w:pPr>
      <w:rPr>
        <w:rFonts w:hint="default"/>
        <w:lang w:val="en-US" w:eastAsia="zh-CN" w:bidi="ar-SA"/>
      </w:rPr>
    </w:lvl>
    <w:lvl w:ilvl="8">
      <w:start w:val="0"/>
      <w:numFmt w:val="bullet"/>
      <w:lvlText w:val="•"/>
      <w:lvlJc w:val="left"/>
      <w:pPr>
        <w:ind w:left="8133" w:hanging="529"/>
      </w:pPr>
      <w:rPr>
        <w:rFonts w:hint="default"/>
        <w:lang w:val="en-US" w:eastAsia="zh-CN" w:bidi="ar-SA"/>
      </w:rPr>
    </w:lvl>
  </w:abstractNum>
  <w:abstractNum w:abstractNumId="112">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111">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110">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109">
    <w:multiLevelType w:val="hybridMultilevel"/>
    <w:lvl w:ilvl="0">
      <w:start w:val="1"/>
      <w:numFmt w:val="decimal"/>
      <w:lvlText w:val="（%1）"/>
      <w:lvlJc w:val="left"/>
      <w:pPr>
        <w:ind w:left="238" w:hanging="529"/>
        <w:jc w:val="left"/>
      </w:pPr>
      <w:rPr>
        <w:rFonts w:hint="default" w:ascii="宋体" w:hAnsi="宋体" w:eastAsia="宋体" w:cs="宋体"/>
        <w:b w:val="0"/>
        <w:bCs w:val="0"/>
        <w:i w:val="0"/>
        <w:iCs w:val="0"/>
        <w:spacing w:val="-32"/>
        <w:w w:val="100"/>
        <w:sz w:val="19"/>
        <w:szCs w:val="19"/>
        <w:lang w:val="en-US" w:eastAsia="zh-CN" w:bidi="ar-SA"/>
      </w:rPr>
    </w:lvl>
    <w:lvl w:ilvl="1">
      <w:start w:val="0"/>
      <w:numFmt w:val="bullet"/>
      <w:lvlText w:val="•"/>
      <w:lvlJc w:val="left"/>
      <w:pPr>
        <w:ind w:left="1226" w:hanging="529"/>
      </w:pPr>
      <w:rPr>
        <w:rFonts w:hint="default"/>
        <w:lang w:val="en-US" w:eastAsia="zh-CN" w:bidi="ar-SA"/>
      </w:rPr>
    </w:lvl>
    <w:lvl w:ilvl="2">
      <w:start w:val="0"/>
      <w:numFmt w:val="bullet"/>
      <w:lvlText w:val="•"/>
      <w:lvlJc w:val="left"/>
      <w:pPr>
        <w:ind w:left="2213" w:hanging="529"/>
      </w:pPr>
      <w:rPr>
        <w:rFonts w:hint="default"/>
        <w:lang w:val="en-US" w:eastAsia="zh-CN" w:bidi="ar-SA"/>
      </w:rPr>
    </w:lvl>
    <w:lvl w:ilvl="3">
      <w:start w:val="0"/>
      <w:numFmt w:val="bullet"/>
      <w:lvlText w:val="•"/>
      <w:lvlJc w:val="left"/>
      <w:pPr>
        <w:ind w:left="3199" w:hanging="529"/>
      </w:pPr>
      <w:rPr>
        <w:rFonts w:hint="default"/>
        <w:lang w:val="en-US" w:eastAsia="zh-CN" w:bidi="ar-SA"/>
      </w:rPr>
    </w:lvl>
    <w:lvl w:ilvl="4">
      <w:start w:val="0"/>
      <w:numFmt w:val="bullet"/>
      <w:lvlText w:val="•"/>
      <w:lvlJc w:val="left"/>
      <w:pPr>
        <w:ind w:left="4186" w:hanging="529"/>
      </w:pPr>
      <w:rPr>
        <w:rFonts w:hint="default"/>
        <w:lang w:val="en-US" w:eastAsia="zh-CN" w:bidi="ar-SA"/>
      </w:rPr>
    </w:lvl>
    <w:lvl w:ilvl="5">
      <w:start w:val="0"/>
      <w:numFmt w:val="bullet"/>
      <w:lvlText w:val="•"/>
      <w:lvlJc w:val="left"/>
      <w:pPr>
        <w:ind w:left="5173" w:hanging="529"/>
      </w:pPr>
      <w:rPr>
        <w:rFonts w:hint="default"/>
        <w:lang w:val="en-US" w:eastAsia="zh-CN" w:bidi="ar-SA"/>
      </w:rPr>
    </w:lvl>
    <w:lvl w:ilvl="6">
      <w:start w:val="0"/>
      <w:numFmt w:val="bullet"/>
      <w:lvlText w:val="•"/>
      <w:lvlJc w:val="left"/>
      <w:pPr>
        <w:ind w:left="6159" w:hanging="529"/>
      </w:pPr>
      <w:rPr>
        <w:rFonts w:hint="default"/>
        <w:lang w:val="en-US" w:eastAsia="zh-CN" w:bidi="ar-SA"/>
      </w:rPr>
    </w:lvl>
    <w:lvl w:ilvl="7">
      <w:start w:val="0"/>
      <w:numFmt w:val="bullet"/>
      <w:lvlText w:val="•"/>
      <w:lvlJc w:val="left"/>
      <w:pPr>
        <w:ind w:left="7146" w:hanging="529"/>
      </w:pPr>
      <w:rPr>
        <w:rFonts w:hint="default"/>
        <w:lang w:val="en-US" w:eastAsia="zh-CN" w:bidi="ar-SA"/>
      </w:rPr>
    </w:lvl>
    <w:lvl w:ilvl="8">
      <w:start w:val="0"/>
      <w:numFmt w:val="bullet"/>
      <w:lvlText w:val="•"/>
      <w:lvlJc w:val="left"/>
      <w:pPr>
        <w:ind w:left="8133" w:hanging="529"/>
      </w:pPr>
      <w:rPr>
        <w:rFonts w:hint="default"/>
        <w:lang w:val="en-US" w:eastAsia="zh-CN" w:bidi="ar-SA"/>
      </w:rPr>
    </w:lvl>
  </w:abstractNum>
  <w:abstractNum w:abstractNumId="108">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107">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106">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105">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104">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103">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102">
    <w:multiLevelType w:val="hybridMultilevel"/>
    <w:lvl w:ilvl="0">
      <w:start w:val="1"/>
      <w:numFmt w:val="decimal"/>
      <w:lvlText w:val="（%1）"/>
      <w:lvlJc w:val="left"/>
      <w:pPr>
        <w:ind w:left="238"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226" w:hanging="529"/>
      </w:pPr>
      <w:rPr>
        <w:rFonts w:hint="default"/>
        <w:lang w:val="en-US" w:eastAsia="zh-CN" w:bidi="ar-SA"/>
      </w:rPr>
    </w:lvl>
    <w:lvl w:ilvl="2">
      <w:start w:val="0"/>
      <w:numFmt w:val="bullet"/>
      <w:lvlText w:val="•"/>
      <w:lvlJc w:val="left"/>
      <w:pPr>
        <w:ind w:left="2213" w:hanging="529"/>
      </w:pPr>
      <w:rPr>
        <w:rFonts w:hint="default"/>
        <w:lang w:val="en-US" w:eastAsia="zh-CN" w:bidi="ar-SA"/>
      </w:rPr>
    </w:lvl>
    <w:lvl w:ilvl="3">
      <w:start w:val="0"/>
      <w:numFmt w:val="bullet"/>
      <w:lvlText w:val="•"/>
      <w:lvlJc w:val="left"/>
      <w:pPr>
        <w:ind w:left="3199" w:hanging="529"/>
      </w:pPr>
      <w:rPr>
        <w:rFonts w:hint="default"/>
        <w:lang w:val="en-US" w:eastAsia="zh-CN" w:bidi="ar-SA"/>
      </w:rPr>
    </w:lvl>
    <w:lvl w:ilvl="4">
      <w:start w:val="0"/>
      <w:numFmt w:val="bullet"/>
      <w:lvlText w:val="•"/>
      <w:lvlJc w:val="left"/>
      <w:pPr>
        <w:ind w:left="4186" w:hanging="529"/>
      </w:pPr>
      <w:rPr>
        <w:rFonts w:hint="default"/>
        <w:lang w:val="en-US" w:eastAsia="zh-CN" w:bidi="ar-SA"/>
      </w:rPr>
    </w:lvl>
    <w:lvl w:ilvl="5">
      <w:start w:val="0"/>
      <w:numFmt w:val="bullet"/>
      <w:lvlText w:val="•"/>
      <w:lvlJc w:val="left"/>
      <w:pPr>
        <w:ind w:left="5173" w:hanging="529"/>
      </w:pPr>
      <w:rPr>
        <w:rFonts w:hint="default"/>
        <w:lang w:val="en-US" w:eastAsia="zh-CN" w:bidi="ar-SA"/>
      </w:rPr>
    </w:lvl>
    <w:lvl w:ilvl="6">
      <w:start w:val="0"/>
      <w:numFmt w:val="bullet"/>
      <w:lvlText w:val="•"/>
      <w:lvlJc w:val="left"/>
      <w:pPr>
        <w:ind w:left="6159" w:hanging="529"/>
      </w:pPr>
      <w:rPr>
        <w:rFonts w:hint="default"/>
        <w:lang w:val="en-US" w:eastAsia="zh-CN" w:bidi="ar-SA"/>
      </w:rPr>
    </w:lvl>
    <w:lvl w:ilvl="7">
      <w:start w:val="0"/>
      <w:numFmt w:val="bullet"/>
      <w:lvlText w:val="•"/>
      <w:lvlJc w:val="left"/>
      <w:pPr>
        <w:ind w:left="7146" w:hanging="529"/>
      </w:pPr>
      <w:rPr>
        <w:rFonts w:hint="default"/>
        <w:lang w:val="en-US" w:eastAsia="zh-CN" w:bidi="ar-SA"/>
      </w:rPr>
    </w:lvl>
    <w:lvl w:ilvl="8">
      <w:start w:val="0"/>
      <w:numFmt w:val="bullet"/>
      <w:lvlText w:val="•"/>
      <w:lvlJc w:val="left"/>
      <w:pPr>
        <w:ind w:left="8133" w:hanging="529"/>
      </w:pPr>
      <w:rPr>
        <w:rFonts w:hint="default"/>
        <w:lang w:val="en-US" w:eastAsia="zh-CN" w:bidi="ar-SA"/>
      </w:rPr>
    </w:lvl>
  </w:abstractNum>
  <w:abstractNum w:abstractNumId="101">
    <w:multiLevelType w:val="hybridMultilevel"/>
    <w:lvl w:ilvl="0">
      <w:start w:val="1"/>
      <w:numFmt w:val="decimal"/>
      <w:lvlText w:val="（%1）"/>
      <w:lvlJc w:val="left"/>
      <w:pPr>
        <w:ind w:left="238" w:hanging="529"/>
        <w:jc w:val="left"/>
      </w:pPr>
      <w:rPr>
        <w:rFonts w:hint="default" w:ascii="宋体" w:hAnsi="宋体" w:eastAsia="宋体" w:cs="宋体"/>
        <w:b w:val="0"/>
        <w:bCs w:val="0"/>
        <w:i w:val="0"/>
        <w:iCs w:val="0"/>
        <w:spacing w:val="-15"/>
        <w:w w:val="100"/>
        <w:sz w:val="19"/>
        <w:szCs w:val="19"/>
        <w:lang w:val="en-US" w:eastAsia="zh-CN" w:bidi="ar-SA"/>
      </w:rPr>
    </w:lvl>
    <w:lvl w:ilvl="1">
      <w:start w:val="0"/>
      <w:numFmt w:val="bullet"/>
      <w:lvlText w:val="•"/>
      <w:lvlJc w:val="left"/>
      <w:pPr>
        <w:ind w:left="1226" w:hanging="529"/>
      </w:pPr>
      <w:rPr>
        <w:rFonts w:hint="default"/>
        <w:lang w:val="en-US" w:eastAsia="zh-CN" w:bidi="ar-SA"/>
      </w:rPr>
    </w:lvl>
    <w:lvl w:ilvl="2">
      <w:start w:val="0"/>
      <w:numFmt w:val="bullet"/>
      <w:lvlText w:val="•"/>
      <w:lvlJc w:val="left"/>
      <w:pPr>
        <w:ind w:left="2213" w:hanging="529"/>
      </w:pPr>
      <w:rPr>
        <w:rFonts w:hint="default"/>
        <w:lang w:val="en-US" w:eastAsia="zh-CN" w:bidi="ar-SA"/>
      </w:rPr>
    </w:lvl>
    <w:lvl w:ilvl="3">
      <w:start w:val="0"/>
      <w:numFmt w:val="bullet"/>
      <w:lvlText w:val="•"/>
      <w:lvlJc w:val="left"/>
      <w:pPr>
        <w:ind w:left="3199" w:hanging="529"/>
      </w:pPr>
      <w:rPr>
        <w:rFonts w:hint="default"/>
        <w:lang w:val="en-US" w:eastAsia="zh-CN" w:bidi="ar-SA"/>
      </w:rPr>
    </w:lvl>
    <w:lvl w:ilvl="4">
      <w:start w:val="0"/>
      <w:numFmt w:val="bullet"/>
      <w:lvlText w:val="•"/>
      <w:lvlJc w:val="left"/>
      <w:pPr>
        <w:ind w:left="4186" w:hanging="529"/>
      </w:pPr>
      <w:rPr>
        <w:rFonts w:hint="default"/>
        <w:lang w:val="en-US" w:eastAsia="zh-CN" w:bidi="ar-SA"/>
      </w:rPr>
    </w:lvl>
    <w:lvl w:ilvl="5">
      <w:start w:val="0"/>
      <w:numFmt w:val="bullet"/>
      <w:lvlText w:val="•"/>
      <w:lvlJc w:val="left"/>
      <w:pPr>
        <w:ind w:left="5173" w:hanging="529"/>
      </w:pPr>
      <w:rPr>
        <w:rFonts w:hint="default"/>
        <w:lang w:val="en-US" w:eastAsia="zh-CN" w:bidi="ar-SA"/>
      </w:rPr>
    </w:lvl>
    <w:lvl w:ilvl="6">
      <w:start w:val="0"/>
      <w:numFmt w:val="bullet"/>
      <w:lvlText w:val="•"/>
      <w:lvlJc w:val="left"/>
      <w:pPr>
        <w:ind w:left="6159" w:hanging="529"/>
      </w:pPr>
      <w:rPr>
        <w:rFonts w:hint="default"/>
        <w:lang w:val="en-US" w:eastAsia="zh-CN" w:bidi="ar-SA"/>
      </w:rPr>
    </w:lvl>
    <w:lvl w:ilvl="7">
      <w:start w:val="0"/>
      <w:numFmt w:val="bullet"/>
      <w:lvlText w:val="•"/>
      <w:lvlJc w:val="left"/>
      <w:pPr>
        <w:ind w:left="7146" w:hanging="529"/>
      </w:pPr>
      <w:rPr>
        <w:rFonts w:hint="default"/>
        <w:lang w:val="en-US" w:eastAsia="zh-CN" w:bidi="ar-SA"/>
      </w:rPr>
    </w:lvl>
    <w:lvl w:ilvl="8">
      <w:start w:val="0"/>
      <w:numFmt w:val="bullet"/>
      <w:lvlText w:val="•"/>
      <w:lvlJc w:val="left"/>
      <w:pPr>
        <w:ind w:left="8133" w:hanging="529"/>
      </w:pPr>
      <w:rPr>
        <w:rFonts w:hint="default"/>
        <w:lang w:val="en-US" w:eastAsia="zh-CN" w:bidi="ar-SA"/>
      </w:rPr>
    </w:lvl>
  </w:abstractNum>
  <w:abstractNum w:abstractNumId="100">
    <w:multiLevelType w:val="hybridMultilevel"/>
    <w:lvl w:ilvl="0">
      <w:start w:val="1"/>
      <w:numFmt w:val="decimal"/>
      <w:lvlText w:val="（%1）"/>
      <w:lvlJc w:val="left"/>
      <w:pPr>
        <w:ind w:left="767" w:hanging="529"/>
        <w:jc w:val="left"/>
      </w:pPr>
      <w:rPr>
        <w:rFonts w:hint="default" w:ascii="宋体" w:hAnsi="宋体" w:eastAsia="宋体" w:cs="宋体"/>
        <w:b/>
        <w:bCs/>
        <w:i w:val="0"/>
        <w:iCs w:val="0"/>
        <w:spacing w:val="-1"/>
        <w:w w:val="99"/>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99">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98">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97">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96">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95">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94">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93">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92">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91">
    <w:multiLevelType w:val="hybridMultilevel"/>
    <w:lvl w:ilvl="0">
      <w:start w:val="1"/>
      <w:numFmt w:val="decimal"/>
      <w:lvlText w:val="（%1）"/>
      <w:lvlJc w:val="left"/>
      <w:pPr>
        <w:ind w:left="767" w:hanging="529"/>
        <w:jc w:val="left"/>
      </w:pPr>
      <w:rPr>
        <w:rFonts w:hint="default" w:ascii="宋体" w:hAnsi="宋体" w:eastAsia="宋体" w:cs="宋体"/>
        <w:b/>
        <w:bCs/>
        <w:i w:val="0"/>
        <w:iCs w:val="0"/>
        <w:spacing w:val="-1"/>
        <w:w w:val="99"/>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90">
    <w:multiLevelType w:val="hybridMultilevel"/>
    <w:lvl w:ilvl="0">
      <w:start w:val="1"/>
      <w:numFmt w:val="decimal"/>
      <w:lvlText w:val="（%1）"/>
      <w:lvlJc w:val="left"/>
      <w:pPr>
        <w:ind w:left="767" w:hanging="529"/>
        <w:jc w:val="left"/>
      </w:pPr>
      <w:rPr>
        <w:rFonts w:hint="default" w:ascii="宋体" w:hAnsi="宋体" w:eastAsia="宋体" w:cs="宋体"/>
        <w:b/>
        <w:bCs/>
        <w:i w:val="0"/>
        <w:iCs w:val="0"/>
        <w:spacing w:val="-1"/>
        <w:w w:val="99"/>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89">
    <w:multiLevelType w:val="hybridMultilevel"/>
    <w:lvl w:ilvl="0">
      <w:start w:val="1"/>
      <w:numFmt w:val="decimal"/>
      <w:lvlText w:val="（%1）"/>
      <w:lvlJc w:val="left"/>
      <w:pPr>
        <w:ind w:left="767" w:hanging="529"/>
        <w:jc w:val="left"/>
      </w:pPr>
      <w:rPr>
        <w:rFonts w:hint="default" w:ascii="宋体" w:hAnsi="宋体" w:eastAsia="宋体" w:cs="宋体"/>
        <w:b/>
        <w:bCs/>
        <w:i w:val="0"/>
        <w:iCs w:val="0"/>
        <w:spacing w:val="-1"/>
        <w:w w:val="99"/>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88">
    <w:multiLevelType w:val="hybridMultilevel"/>
    <w:lvl w:ilvl="0">
      <w:start w:val="1"/>
      <w:numFmt w:val="decimal"/>
      <w:lvlText w:val="（%1）"/>
      <w:lvlJc w:val="left"/>
      <w:pPr>
        <w:ind w:left="238"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226" w:hanging="529"/>
      </w:pPr>
      <w:rPr>
        <w:rFonts w:hint="default"/>
        <w:lang w:val="en-US" w:eastAsia="zh-CN" w:bidi="ar-SA"/>
      </w:rPr>
    </w:lvl>
    <w:lvl w:ilvl="2">
      <w:start w:val="0"/>
      <w:numFmt w:val="bullet"/>
      <w:lvlText w:val="•"/>
      <w:lvlJc w:val="left"/>
      <w:pPr>
        <w:ind w:left="2213" w:hanging="529"/>
      </w:pPr>
      <w:rPr>
        <w:rFonts w:hint="default"/>
        <w:lang w:val="en-US" w:eastAsia="zh-CN" w:bidi="ar-SA"/>
      </w:rPr>
    </w:lvl>
    <w:lvl w:ilvl="3">
      <w:start w:val="0"/>
      <w:numFmt w:val="bullet"/>
      <w:lvlText w:val="•"/>
      <w:lvlJc w:val="left"/>
      <w:pPr>
        <w:ind w:left="3199" w:hanging="529"/>
      </w:pPr>
      <w:rPr>
        <w:rFonts w:hint="default"/>
        <w:lang w:val="en-US" w:eastAsia="zh-CN" w:bidi="ar-SA"/>
      </w:rPr>
    </w:lvl>
    <w:lvl w:ilvl="4">
      <w:start w:val="0"/>
      <w:numFmt w:val="bullet"/>
      <w:lvlText w:val="•"/>
      <w:lvlJc w:val="left"/>
      <w:pPr>
        <w:ind w:left="4186" w:hanging="529"/>
      </w:pPr>
      <w:rPr>
        <w:rFonts w:hint="default"/>
        <w:lang w:val="en-US" w:eastAsia="zh-CN" w:bidi="ar-SA"/>
      </w:rPr>
    </w:lvl>
    <w:lvl w:ilvl="5">
      <w:start w:val="0"/>
      <w:numFmt w:val="bullet"/>
      <w:lvlText w:val="•"/>
      <w:lvlJc w:val="left"/>
      <w:pPr>
        <w:ind w:left="5173" w:hanging="529"/>
      </w:pPr>
      <w:rPr>
        <w:rFonts w:hint="default"/>
        <w:lang w:val="en-US" w:eastAsia="zh-CN" w:bidi="ar-SA"/>
      </w:rPr>
    </w:lvl>
    <w:lvl w:ilvl="6">
      <w:start w:val="0"/>
      <w:numFmt w:val="bullet"/>
      <w:lvlText w:val="•"/>
      <w:lvlJc w:val="left"/>
      <w:pPr>
        <w:ind w:left="6159" w:hanging="529"/>
      </w:pPr>
      <w:rPr>
        <w:rFonts w:hint="default"/>
        <w:lang w:val="en-US" w:eastAsia="zh-CN" w:bidi="ar-SA"/>
      </w:rPr>
    </w:lvl>
    <w:lvl w:ilvl="7">
      <w:start w:val="0"/>
      <w:numFmt w:val="bullet"/>
      <w:lvlText w:val="•"/>
      <w:lvlJc w:val="left"/>
      <w:pPr>
        <w:ind w:left="7146" w:hanging="529"/>
      </w:pPr>
      <w:rPr>
        <w:rFonts w:hint="default"/>
        <w:lang w:val="en-US" w:eastAsia="zh-CN" w:bidi="ar-SA"/>
      </w:rPr>
    </w:lvl>
    <w:lvl w:ilvl="8">
      <w:start w:val="0"/>
      <w:numFmt w:val="bullet"/>
      <w:lvlText w:val="•"/>
      <w:lvlJc w:val="left"/>
      <w:pPr>
        <w:ind w:left="8133" w:hanging="529"/>
      </w:pPr>
      <w:rPr>
        <w:rFonts w:hint="default"/>
        <w:lang w:val="en-US" w:eastAsia="zh-CN" w:bidi="ar-SA"/>
      </w:rPr>
    </w:lvl>
  </w:abstractNum>
  <w:abstractNum w:abstractNumId="87">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86">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85">
    <w:multiLevelType w:val="hybridMultilevel"/>
    <w:lvl w:ilvl="0">
      <w:start w:val="1"/>
      <w:numFmt w:val="decimal"/>
      <w:lvlText w:val="（%1）"/>
      <w:lvlJc w:val="left"/>
      <w:pPr>
        <w:ind w:left="250"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244" w:hanging="529"/>
      </w:pPr>
      <w:rPr>
        <w:rFonts w:hint="default"/>
        <w:lang w:val="en-US" w:eastAsia="zh-CN" w:bidi="ar-SA"/>
      </w:rPr>
    </w:lvl>
    <w:lvl w:ilvl="2">
      <w:start w:val="0"/>
      <w:numFmt w:val="bullet"/>
      <w:lvlText w:val="•"/>
      <w:lvlJc w:val="left"/>
      <w:pPr>
        <w:ind w:left="2229" w:hanging="529"/>
      </w:pPr>
      <w:rPr>
        <w:rFonts w:hint="default"/>
        <w:lang w:val="en-US" w:eastAsia="zh-CN" w:bidi="ar-SA"/>
      </w:rPr>
    </w:lvl>
    <w:lvl w:ilvl="3">
      <w:start w:val="0"/>
      <w:numFmt w:val="bullet"/>
      <w:lvlText w:val="•"/>
      <w:lvlJc w:val="left"/>
      <w:pPr>
        <w:ind w:left="3213" w:hanging="529"/>
      </w:pPr>
      <w:rPr>
        <w:rFonts w:hint="default"/>
        <w:lang w:val="en-US" w:eastAsia="zh-CN" w:bidi="ar-SA"/>
      </w:rPr>
    </w:lvl>
    <w:lvl w:ilvl="4">
      <w:start w:val="0"/>
      <w:numFmt w:val="bullet"/>
      <w:lvlText w:val="•"/>
      <w:lvlJc w:val="left"/>
      <w:pPr>
        <w:ind w:left="4198" w:hanging="529"/>
      </w:pPr>
      <w:rPr>
        <w:rFonts w:hint="default"/>
        <w:lang w:val="en-US" w:eastAsia="zh-CN" w:bidi="ar-SA"/>
      </w:rPr>
    </w:lvl>
    <w:lvl w:ilvl="5">
      <w:start w:val="0"/>
      <w:numFmt w:val="bullet"/>
      <w:lvlText w:val="•"/>
      <w:lvlJc w:val="left"/>
      <w:pPr>
        <w:ind w:left="5183" w:hanging="529"/>
      </w:pPr>
      <w:rPr>
        <w:rFonts w:hint="default"/>
        <w:lang w:val="en-US" w:eastAsia="zh-CN" w:bidi="ar-SA"/>
      </w:rPr>
    </w:lvl>
    <w:lvl w:ilvl="6">
      <w:start w:val="0"/>
      <w:numFmt w:val="bullet"/>
      <w:lvlText w:val="•"/>
      <w:lvlJc w:val="left"/>
      <w:pPr>
        <w:ind w:left="6167" w:hanging="529"/>
      </w:pPr>
      <w:rPr>
        <w:rFonts w:hint="default"/>
        <w:lang w:val="en-US" w:eastAsia="zh-CN" w:bidi="ar-SA"/>
      </w:rPr>
    </w:lvl>
    <w:lvl w:ilvl="7">
      <w:start w:val="0"/>
      <w:numFmt w:val="bullet"/>
      <w:lvlText w:val="•"/>
      <w:lvlJc w:val="left"/>
      <w:pPr>
        <w:ind w:left="7152" w:hanging="529"/>
      </w:pPr>
      <w:rPr>
        <w:rFonts w:hint="default"/>
        <w:lang w:val="en-US" w:eastAsia="zh-CN" w:bidi="ar-SA"/>
      </w:rPr>
    </w:lvl>
    <w:lvl w:ilvl="8">
      <w:start w:val="0"/>
      <w:numFmt w:val="bullet"/>
      <w:lvlText w:val="•"/>
      <w:lvlJc w:val="left"/>
      <w:pPr>
        <w:ind w:left="8137" w:hanging="529"/>
      </w:pPr>
      <w:rPr>
        <w:rFonts w:hint="default"/>
        <w:lang w:val="en-US" w:eastAsia="zh-CN" w:bidi="ar-SA"/>
      </w:rPr>
    </w:lvl>
  </w:abstractNum>
  <w:abstractNum w:abstractNumId="84">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83">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82">
    <w:multiLevelType w:val="hybridMultilevel"/>
    <w:lvl w:ilvl="0">
      <w:start w:val="1"/>
      <w:numFmt w:val="decimal"/>
      <w:lvlText w:val="（%1）"/>
      <w:lvlJc w:val="left"/>
      <w:pPr>
        <w:ind w:left="767" w:hanging="529"/>
        <w:jc w:val="left"/>
      </w:pPr>
      <w:rPr>
        <w:rFonts w:hint="default" w:ascii="宋体" w:hAnsi="宋体" w:eastAsia="宋体" w:cs="宋体"/>
        <w:b/>
        <w:bCs/>
        <w:i w:val="0"/>
        <w:iCs w:val="0"/>
        <w:spacing w:val="-1"/>
        <w:w w:val="99"/>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81">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80">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position w:val="1"/>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79">
    <w:multiLevelType w:val="hybridMultilevel"/>
    <w:lvl w:ilvl="0">
      <w:start w:val="1"/>
      <w:numFmt w:val="decimal"/>
      <w:lvlText w:val="（%1）"/>
      <w:lvlJc w:val="left"/>
      <w:pPr>
        <w:ind w:left="767" w:hanging="529"/>
        <w:jc w:val="left"/>
      </w:pPr>
      <w:rPr>
        <w:rFonts w:hint="default" w:ascii="宋体" w:hAnsi="宋体" w:eastAsia="宋体" w:cs="宋体"/>
        <w:b/>
        <w:bCs/>
        <w:i w:val="0"/>
        <w:iCs w:val="0"/>
        <w:spacing w:val="-1"/>
        <w:w w:val="99"/>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78">
    <w:multiLevelType w:val="hybridMultilevel"/>
    <w:lvl w:ilvl="0">
      <w:start w:val="1"/>
      <w:numFmt w:val="decimal"/>
      <w:lvlText w:val="（%1）"/>
      <w:lvlJc w:val="left"/>
      <w:pPr>
        <w:ind w:left="238"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226" w:hanging="529"/>
      </w:pPr>
      <w:rPr>
        <w:rFonts w:hint="default"/>
        <w:lang w:val="en-US" w:eastAsia="zh-CN" w:bidi="ar-SA"/>
      </w:rPr>
    </w:lvl>
    <w:lvl w:ilvl="2">
      <w:start w:val="0"/>
      <w:numFmt w:val="bullet"/>
      <w:lvlText w:val="•"/>
      <w:lvlJc w:val="left"/>
      <w:pPr>
        <w:ind w:left="2213" w:hanging="529"/>
      </w:pPr>
      <w:rPr>
        <w:rFonts w:hint="default"/>
        <w:lang w:val="en-US" w:eastAsia="zh-CN" w:bidi="ar-SA"/>
      </w:rPr>
    </w:lvl>
    <w:lvl w:ilvl="3">
      <w:start w:val="0"/>
      <w:numFmt w:val="bullet"/>
      <w:lvlText w:val="•"/>
      <w:lvlJc w:val="left"/>
      <w:pPr>
        <w:ind w:left="3199" w:hanging="529"/>
      </w:pPr>
      <w:rPr>
        <w:rFonts w:hint="default"/>
        <w:lang w:val="en-US" w:eastAsia="zh-CN" w:bidi="ar-SA"/>
      </w:rPr>
    </w:lvl>
    <w:lvl w:ilvl="4">
      <w:start w:val="0"/>
      <w:numFmt w:val="bullet"/>
      <w:lvlText w:val="•"/>
      <w:lvlJc w:val="left"/>
      <w:pPr>
        <w:ind w:left="4186" w:hanging="529"/>
      </w:pPr>
      <w:rPr>
        <w:rFonts w:hint="default"/>
        <w:lang w:val="en-US" w:eastAsia="zh-CN" w:bidi="ar-SA"/>
      </w:rPr>
    </w:lvl>
    <w:lvl w:ilvl="5">
      <w:start w:val="0"/>
      <w:numFmt w:val="bullet"/>
      <w:lvlText w:val="•"/>
      <w:lvlJc w:val="left"/>
      <w:pPr>
        <w:ind w:left="5173" w:hanging="529"/>
      </w:pPr>
      <w:rPr>
        <w:rFonts w:hint="default"/>
        <w:lang w:val="en-US" w:eastAsia="zh-CN" w:bidi="ar-SA"/>
      </w:rPr>
    </w:lvl>
    <w:lvl w:ilvl="6">
      <w:start w:val="0"/>
      <w:numFmt w:val="bullet"/>
      <w:lvlText w:val="•"/>
      <w:lvlJc w:val="left"/>
      <w:pPr>
        <w:ind w:left="6159" w:hanging="529"/>
      </w:pPr>
      <w:rPr>
        <w:rFonts w:hint="default"/>
        <w:lang w:val="en-US" w:eastAsia="zh-CN" w:bidi="ar-SA"/>
      </w:rPr>
    </w:lvl>
    <w:lvl w:ilvl="7">
      <w:start w:val="0"/>
      <w:numFmt w:val="bullet"/>
      <w:lvlText w:val="•"/>
      <w:lvlJc w:val="left"/>
      <w:pPr>
        <w:ind w:left="7146" w:hanging="529"/>
      </w:pPr>
      <w:rPr>
        <w:rFonts w:hint="default"/>
        <w:lang w:val="en-US" w:eastAsia="zh-CN" w:bidi="ar-SA"/>
      </w:rPr>
    </w:lvl>
    <w:lvl w:ilvl="8">
      <w:start w:val="0"/>
      <w:numFmt w:val="bullet"/>
      <w:lvlText w:val="•"/>
      <w:lvlJc w:val="left"/>
      <w:pPr>
        <w:ind w:left="8133" w:hanging="529"/>
      </w:pPr>
      <w:rPr>
        <w:rFonts w:hint="default"/>
        <w:lang w:val="en-US" w:eastAsia="zh-CN" w:bidi="ar-SA"/>
      </w:rPr>
    </w:lvl>
  </w:abstractNum>
  <w:abstractNum w:abstractNumId="77">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76">
    <w:multiLevelType w:val="hybridMultilevel"/>
    <w:lvl w:ilvl="0">
      <w:start w:val="1"/>
      <w:numFmt w:val="lowerLetter"/>
      <w:lvlText w:val="%1."/>
      <w:lvlJc w:val="left"/>
      <w:pPr>
        <w:ind w:left="238" w:hanging="214"/>
        <w:jc w:val="left"/>
      </w:pPr>
      <w:rPr>
        <w:rFonts w:hint="default" w:ascii="宋体" w:hAnsi="宋体" w:eastAsia="宋体" w:cs="宋体"/>
        <w:b/>
        <w:bCs/>
        <w:i w:val="0"/>
        <w:iCs w:val="0"/>
        <w:w w:val="99"/>
        <w:sz w:val="19"/>
        <w:szCs w:val="19"/>
        <w:lang w:val="en-US" w:eastAsia="zh-CN" w:bidi="ar-SA"/>
      </w:rPr>
    </w:lvl>
    <w:lvl w:ilvl="1">
      <w:start w:val="0"/>
      <w:numFmt w:val="bullet"/>
      <w:lvlText w:val="•"/>
      <w:lvlJc w:val="left"/>
      <w:pPr>
        <w:ind w:left="1226" w:hanging="214"/>
      </w:pPr>
      <w:rPr>
        <w:rFonts w:hint="default"/>
        <w:lang w:val="en-US" w:eastAsia="zh-CN" w:bidi="ar-SA"/>
      </w:rPr>
    </w:lvl>
    <w:lvl w:ilvl="2">
      <w:start w:val="0"/>
      <w:numFmt w:val="bullet"/>
      <w:lvlText w:val="•"/>
      <w:lvlJc w:val="left"/>
      <w:pPr>
        <w:ind w:left="2213" w:hanging="214"/>
      </w:pPr>
      <w:rPr>
        <w:rFonts w:hint="default"/>
        <w:lang w:val="en-US" w:eastAsia="zh-CN" w:bidi="ar-SA"/>
      </w:rPr>
    </w:lvl>
    <w:lvl w:ilvl="3">
      <w:start w:val="0"/>
      <w:numFmt w:val="bullet"/>
      <w:lvlText w:val="•"/>
      <w:lvlJc w:val="left"/>
      <w:pPr>
        <w:ind w:left="3199" w:hanging="214"/>
      </w:pPr>
      <w:rPr>
        <w:rFonts w:hint="default"/>
        <w:lang w:val="en-US" w:eastAsia="zh-CN" w:bidi="ar-SA"/>
      </w:rPr>
    </w:lvl>
    <w:lvl w:ilvl="4">
      <w:start w:val="0"/>
      <w:numFmt w:val="bullet"/>
      <w:lvlText w:val="•"/>
      <w:lvlJc w:val="left"/>
      <w:pPr>
        <w:ind w:left="4186" w:hanging="214"/>
      </w:pPr>
      <w:rPr>
        <w:rFonts w:hint="default"/>
        <w:lang w:val="en-US" w:eastAsia="zh-CN" w:bidi="ar-SA"/>
      </w:rPr>
    </w:lvl>
    <w:lvl w:ilvl="5">
      <w:start w:val="0"/>
      <w:numFmt w:val="bullet"/>
      <w:lvlText w:val="•"/>
      <w:lvlJc w:val="left"/>
      <w:pPr>
        <w:ind w:left="5173" w:hanging="214"/>
      </w:pPr>
      <w:rPr>
        <w:rFonts w:hint="default"/>
        <w:lang w:val="en-US" w:eastAsia="zh-CN" w:bidi="ar-SA"/>
      </w:rPr>
    </w:lvl>
    <w:lvl w:ilvl="6">
      <w:start w:val="0"/>
      <w:numFmt w:val="bullet"/>
      <w:lvlText w:val="•"/>
      <w:lvlJc w:val="left"/>
      <w:pPr>
        <w:ind w:left="6159" w:hanging="214"/>
      </w:pPr>
      <w:rPr>
        <w:rFonts w:hint="default"/>
        <w:lang w:val="en-US" w:eastAsia="zh-CN" w:bidi="ar-SA"/>
      </w:rPr>
    </w:lvl>
    <w:lvl w:ilvl="7">
      <w:start w:val="0"/>
      <w:numFmt w:val="bullet"/>
      <w:lvlText w:val="•"/>
      <w:lvlJc w:val="left"/>
      <w:pPr>
        <w:ind w:left="7146" w:hanging="214"/>
      </w:pPr>
      <w:rPr>
        <w:rFonts w:hint="default"/>
        <w:lang w:val="en-US" w:eastAsia="zh-CN" w:bidi="ar-SA"/>
      </w:rPr>
    </w:lvl>
    <w:lvl w:ilvl="8">
      <w:start w:val="0"/>
      <w:numFmt w:val="bullet"/>
      <w:lvlText w:val="•"/>
      <w:lvlJc w:val="left"/>
      <w:pPr>
        <w:ind w:left="8133" w:hanging="214"/>
      </w:pPr>
      <w:rPr>
        <w:rFonts w:hint="default"/>
        <w:lang w:val="en-US" w:eastAsia="zh-CN" w:bidi="ar-SA"/>
      </w:rPr>
    </w:lvl>
  </w:abstractNum>
  <w:abstractNum w:abstractNumId="75">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1"/>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74">
    <w:multiLevelType w:val="hybridMultilevel"/>
    <w:lvl w:ilvl="0">
      <w:start w:val="1"/>
      <w:numFmt w:val="decimal"/>
      <w:lvlText w:val="（%1）"/>
      <w:lvlJc w:val="left"/>
      <w:pPr>
        <w:ind w:left="767" w:hanging="529"/>
        <w:jc w:val="left"/>
      </w:pPr>
      <w:rPr>
        <w:rFonts w:hint="default" w:ascii="宋体" w:hAnsi="宋体" w:eastAsia="宋体" w:cs="宋体"/>
        <w:b/>
        <w:bCs/>
        <w:i w:val="0"/>
        <w:iCs w:val="0"/>
        <w:spacing w:val="-1"/>
        <w:w w:val="99"/>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73">
    <w:multiLevelType w:val="hybridMultilevel"/>
    <w:lvl w:ilvl="0">
      <w:start w:val="1"/>
      <w:numFmt w:val="decimal"/>
      <w:lvlText w:val="（%1）"/>
      <w:lvlJc w:val="left"/>
      <w:pPr>
        <w:ind w:left="767" w:hanging="529"/>
        <w:jc w:val="left"/>
      </w:pPr>
      <w:rPr>
        <w:rFonts w:hint="default" w:ascii="宋体" w:hAnsi="宋体" w:eastAsia="宋体" w:cs="宋体"/>
        <w:b/>
        <w:bCs/>
        <w:i w:val="0"/>
        <w:iCs w:val="0"/>
        <w:spacing w:val="-1"/>
        <w:w w:val="99"/>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72">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71">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70">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69">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68">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67">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66">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65">
    <w:multiLevelType w:val="hybridMultilevel"/>
    <w:lvl w:ilvl="0">
      <w:start w:val="1"/>
      <w:numFmt w:val="decimal"/>
      <w:lvlText w:val="（%1）"/>
      <w:lvlJc w:val="left"/>
      <w:pPr>
        <w:ind w:left="869" w:hanging="632"/>
        <w:jc w:val="left"/>
      </w:pPr>
      <w:rPr>
        <w:rFonts w:hint="default" w:ascii="宋体" w:hAnsi="宋体" w:eastAsia="宋体" w:cs="宋体"/>
        <w:b w:val="0"/>
        <w:bCs w:val="0"/>
        <w:i w:val="0"/>
        <w:iCs w:val="0"/>
        <w:spacing w:val="-1"/>
        <w:w w:val="100"/>
        <w:sz w:val="21"/>
        <w:szCs w:val="21"/>
        <w:lang w:val="en-US" w:eastAsia="zh-CN" w:bidi="ar-SA"/>
      </w:rPr>
    </w:lvl>
    <w:lvl w:ilvl="1">
      <w:start w:val="0"/>
      <w:numFmt w:val="bullet"/>
      <w:lvlText w:val="•"/>
      <w:lvlJc w:val="left"/>
      <w:pPr>
        <w:ind w:left="1784" w:hanging="632"/>
      </w:pPr>
      <w:rPr>
        <w:rFonts w:hint="default"/>
        <w:lang w:val="en-US" w:eastAsia="zh-CN" w:bidi="ar-SA"/>
      </w:rPr>
    </w:lvl>
    <w:lvl w:ilvl="2">
      <w:start w:val="0"/>
      <w:numFmt w:val="bullet"/>
      <w:lvlText w:val="•"/>
      <w:lvlJc w:val="left"/>
      <w:pPr>
        <w:ind w:left="2709" w:hanging="632"/>
      </w:pPr>
      <w:rPr>
        <w:rFonts w:hint="default"/>
        <w:lang w:val="en-US" w:eastAsia="zh-CN" w:bidi="ar-SA"/>
      </w:rPr>
    </w:lvl>
    <w:lvl w:ilvl="3">
      <w:start w:val="0"/>
      <w:numFmt w:val="bullet"/>
      <w:lvlText w:val="•"/>
      <w:lvlJc w:val="left"/>
      <w:pPr>
        <w:ind w:left="3633" w:hanging="632"/>
      </w:pPr>
      <w:rPr>
        <w:rFonts w:hint="default"/>
        <w:lang w:val="en-US" w:eastAsia="zh-CN" w:bidi="ar-SA"/>
      </w:rPr>
    </w:lvl>
    <w:lvl w:ilvl="4">
      <w:start w:val="0"/>
      <w:numFmt w:val="bullet"/>
      <w:lvlText w:val="•"/>
      <w:lvlJc w:val="left"/>
      <w:pPr>
        <w:ind w:left="4558" w:hanging="632"/>
      </w:pPr>
      <w:rPr>
        <w:rFonts w:hint="default"/>
        <w:lang w:val="en-US" w:eastAsia="zh-CN" w:bidi="ar-SA"/>
      </w:rPr>
    </w:lvl>
    <w:lvl w:ilvl="5">
      <w:start w:val="0"/>
      <w:numFmt w:val="bullet"/>
      <w:lvlText w:val="•"/>
      <w:lvlJc w:val="left"/>
      <w:pPr>
        <w:ind w:left="5483" w:hanging="632"/>
      </w:pPr>
      <w:rPr>
        <w:rFonts w:hint="default"/>
        <w:lang w:val="en-US" w:eastAsia="zh-CN" w:bidi="ar-SA"/>
      </w:rPr>
    </w:lvl>
    <w:lvl w:ilvl="6">
      <w:start w:val="0"/>
      <w:numFmt w:val="bullet"/>
      <w:lvlText w:val="•"/>
      <w:lvlJc w:val="left"/>
      <w:pPr>
        <w:ind w:left="6407" w:hanging="632"/>
      </w:pPr>
      <w:rPr>
        <w:rFonts w:hint="default"/>
        <w:lang w:val="en-US" w:eastAsia="zh-CN" w:bidi="ar-SA"/>
      </w:rPr>
    </w:lvl>
    <w:lvl w:ilvl="7">
      <w:start w:val="0"/>
      <w:numFmt w:val="bullet"/>
      <w:lvlText w:val="•"/>
      <w:lvlJc w:val="left"/>
      <w:pPr>
        <w:ind w:left="7332" w:hanging="632"/>
      </w:pPr>
      <w:rPr>
        <w:rFonts w:hint="default"/>
        <w:lang w:val="en-US" w:eastAsia="zh-CN" w:bidi="ar-SA"/>
      </w:rPr>
    </w:lvl>
    <w:lvl w:ilvl="8">
      <w:start w:val="0"/>
      <w:numFmt w:val="bullet"/>
      <w:lvlText w:val="•"/>
      <w:lvlJc w:val="left"/>
      <w:pPr>
        <w:ind w:left="8257" w:hanging="632"/>
      </w:pPr>
      <w:rPr>
        <w:rFonts w:hint="default"/>
        <w:lang w:val="en-US" w:eastAsia="zh-CN" w:bidi="ar-SA"/>
      </w:rPr>
    </w:lvl>
  </w:abstractNum>
  <w:abstractNum w:abstractNumId="64">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63">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62">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61">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60">
    <w:multiLevelType w:val="hybridMultilevel"/>
    <w:lvl w:ilvl="0">
      <w:start w:val="1"/>
      <w:numFmt w:val="decimal"/>
      <w:lvlText w:val="（%1）"/>
      <w:lvlJc w:val="left"/>
      <w:pPr>
        <w:ind w:left="238"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226" w:hanging="529"/>
      </w:pPr>
      <w:rPr>
        <w:rFonts w:hint="default"/>
        <w:lang w:val="en-US" w:eastAsia="zh-CN" w:bidi="ar-SA"/>
      </w:rPr>
    </w:lvl>
    <w:lvl w:ilvl="2">
      <w:start w:val="0"/>
      <w:numFmt w:val="bullet"/>
      <w:lvlText w:val="•"/>
      <w:lvlJc w:val="left"/>
      <w:pPr>
        <w:ind w:left="2213" w:hanging="529"/>
      </w:pPr>
      <w:rPr>
        <w:rFonts w:hint="default"/>
        <w:lang w:val="en-US" w:eastAsia="zh-CN" w:bidi="ar-SA"/>
      </w:rPr>
    </w:lvl>
    <w:lvl w:ilvl="3">
      <w:start w:val="0"/>
      <w:numFmt w:val="bullet"/>
      <w:lvlText w:val="•"/>
      <w:lvlJc w:val="left"/>
      <w:pPr>
        <w:ind w:left="3199" w:hanging="529"/>
      </w:pPr>
      <w:rPr>
        <w:rFonts w:hint="default"/>
        <w:lang w:val="en-US" w:eastAsia="zh-CN" w:bidi="ar-SA"/>
      </w:rPr>
    </w:lvl>
    <w:lvl w:ilvl="4">
      <w:start w:val="0"/>
      <w:numFmt w:val="bullet"/>
      <w:lvlText w:val="•"/>
      <w:lvlJc w:val="left"/>
      <w:pPr>
        <w:ind w:left="4186" w:hanging="529"/>
      </w:pPr>
      <w:rPr>
        <w:rFonts w:hint="default"/>
        <w:lang w:val="en-US" w:eastAsia="zh-CN" w:bidi="ar-SA"/>
      </w:rPr>
    </w:lvl>
    <w:lvl w:ilvl="5">
      <w:start w:val="0"/>
      <w:numFmt w:val="bullet"/>
      <w:lvlText w:val="•"/>
      <w:lvlJc w:val="left"/>
      <w:pPr>
        <w:ind w:left="5173" w:hanging="529"/>
      </w:pPr>
      <w:rPr>
        <w:rFonts w:hint="default"/>
        <w:lang w:val="en-US" w:eastAsia="zh-CN" w:bidi="ar-SA"/>
      </w:rPr>
    </w:lvl>
    <w:lvl w:ilvl="6">
      <w:start w:val="0"/>
      <w:numFmt w:val="bullet"/>
      <w:lvlText w:val="•"/>
      <w:lvlJc w:val="left"/>
      <w:pPr>
        <w:ind w:left="6159" w:hanging="529"/>
      </w:pPr>
      <w:rPr>
        <w:rFonts w:hint="default"/>
        <w:lang w:val="en-US" w:eastAsia="zh-CN" w:bidi="ar-SA"/>
      </w:rPr>
    </w:lvl>
    <w:lvl w:ilvl="7">
      <w:start w:val="0"/>
      <w:numFmt w:val="bullet"/>
      <w:lvlText w:val="•"/>
      <w:lvlJc w:val="left"/>
      <w:pPr>
        <w:ind w:left="7146" w:hanging="529"/>
      </w:pPr>
      <w:rPr>
        <w:rFonts w:hint="default"/>
        <w:lang w:val="en-US" w:eastAsia="zh-CN" w:bidi="ar-SA"/>
      </w:rPr>
    </w:lvl>
    <w:lvl w:ilvl="8">
      <w:start w:val="0"/>
      <w:numFmt w:val="bullet"/>
      <w:lvlText w:val="•"/>
      <w:lvlJc w:val="left"/>
      <w:pPr>
        <w:ind w:left="8133" w:hanging="529"/>
      </w:pPr>
      <w:rPr>
        <w:rFonts w:hint="default"/>
        <w:lang w:val="en-US" w:eastAsia="zh-CN" w:bidi="ar-SA"/>
      </w:rPr>
    </w:lvl>
  </w:abstractNum>
  <w:abstractNum w:abstractNumId="59">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58">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57">
    <w:multiLevelType w:val="hybridMultilevel"/>
    <w:lvl w:ilvl="0">
      <w:start w:val="1"/>
      <w:numFmt w:val="decimal"/>
      <w:lvlText w:val="（%1）"/>
      <w:lvlJc w:val="left"/>
      <w:pPr>
        <w:ind w:left="764" w:hanging="527"/>
        <w:jc w:val="left"/>
      </w:pPr>
      <w:rPr>
        <w:rFonts w:hint="default" w:ascii="宋体" w:hAnsi="宋体" w:eastAsia="宋体" w:cs="宋体"/>
        <w:b w:val="0"/>
        <w:bCs w:val="0"/>
        <w:i w:val="0"/>
        <w:iCs w:val="0"/>
        <w:spacing w:val="-99"/>
        <w:w w:val="100"/>
        <w:sz w:val="19"/>
        <w:szCs w:val="19"/>
        <w:lang w:val="en-US" w:eastAsia="zh-CN" w:bidi="ar-SA"/>
      </w:rPr>
    </w:lvl>
    <w:lvl w:ilvl="1">
      <w:start w:val="0"/>
      <w:numFmt w:val="bullet"/>
      <w:lvlText w:val="•"/>
      <w:lvlJc w:val="left"/>
      <w:pPr>
        <w:ind w:left="1694" w:hanging="527"/>
      </w:pPr>
      <w:rPr>
        <w:rFonts w:hint="default"/>
        <w:lang w:val="en-US" w:eastAsia="zh-CN" w:bidi="ar-SA"/>
      </w:rPr>
    </w:lvl>
    <w:lvl w:ilvl="2">
      <w:start w:val="0"/>
      <w:numFmt w:val="bullet"/>
      <w:lvlText w:val="•"/>
      <w:lvlJc w:val="left"/>
      <w:pPr>
        <w:ind w:left="2629" w:hanging="527"/>
      </w:pPr>
      <w:rPr>
        <w:rFonts w:hint="default"/>
        <w:lang w:val="en-US" w:eastAsia="zh-CN" w:bidi="ar-SA"/>
      </w:rPr>
    </w:lvl>
    <w:lvl w:ilvl="3">
      <w:start w:val="0"/>
      <w:numFmt w:val="bullet"/>
      <w:lvlText w:val="•"/>
      <w:lvlJc w:val="left"/>
      <w:pPr>
        <w:ind w:left="3563" w:hanging="527"/>
      </w:pPr>
      <w:rPr>
        <w:rFonts w:hint="default"/>
        <w:lang w:val="en-US" w:eastAsia="zh-CN" w:bidi="ar-SA"/>
      </w:rPr>
    </w:lvl>
    <w:lvl w:ilvl="4">
      <w:start w:val="0"/>
      <w:numFmt w:val="bullet"/>
      <w:lvlText w:val="•"/>
      <w:lvlJc w:val="left"/>
      <w:pPr>
        <w:ind w:left="4498" w:hanging="527"/>
      </w:pPr>
      <w:rPr>
        <w:rFonts w:hint="default"/>
        <w:lang w:val="en-US" w:eastAsia="zh-CN" w:bidi="ar-SA"/>
      </w:rPr>
    </w:lvl>
    <w:lvl w:ilvl="5">
      <w:start w:val="0"/>
      <w:numFmt w:val="bullet"/>
      <w:lvlText w:val="•"/>
      <w:lvlJc w:val="left"/>
      <w:pPr>
        <w:ind w:left="5433" w:hanging="527"/>
      </w:pPr>
      <w:rPr>
        <w:rFonts w:hint="default"/>
        <w:lang w:val="en-US" w:eastAsia="zh-CN" w:bidi="ar-SA"/>
      </w:rPr>
    </w:lvl>
    <w:lvl w:ilvl="6">
      <w:start w:val="0"/>
      <w:numFmt w:val="bullet"/>
      <w:lvlText w:val="•"/>
      <w:lvlJc w:val="left"/>
      <w:pPr>
        <w:ind w:left="6367" w:hanging="527"/>
      </w:pPr>
      <w:rPr>
        <w:rFonts w:hint="default"/>
        <w:lang w:val="en-US" w:eastAsia="zh-CN" w:bidi="ar-SA"/>
      </w:rPr>
    </w:lvl>
    <w:lvl w:ilvl="7">
      <w:start w:val="0"/>
      <w:numFmt w:val="bullet"/>
      <w:lvlText w:val="•"/>
      <w:lvlJc w:val="left"/>
      <w:pPr>
        <w:ind w:left="7302" w:hanging="527"/>
      </w:pPr>
      <w:rPr>
        <w:rFonts w:hint="default"/>
        <w:lang w:val="en-US" w:eastAsia="zh-CN" w:bidi="ar-SA"/>
      </w:rPr>
    </w:lvl>
    <w:lvl w:ilvl="8">
      <w:start w:val="0"/>
      <w:numFmt w:val="bullet"/>
      <w:lvlText w:val="•"/>
      <w:lvlJc w:val="left"/>
      <w:pPr>
        <w:ind w:left="8237" w:hanging="527"/>
      </w:pPr>
      <w:rPr>
        <w:rFonts w:hint="default"/>
        <w:lang w:val="en-US" w:eastAsia="zh-CN" w:bidi="ar-SA"/>
      </w:rPr>
    </w:lvl>
  </w:abstractNum>
  <w:abstractNum w:abstractNumId="56">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55">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54">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53">
    <w:multiLevelType w:val="hybridMultilevel"/>
    <w:lvl w:ilvl="0">
      <w:start w:val="1"/>
      <w:numFmt w:val="decimal"/>
      <w:lvlText w:val="（%1）"/>
      <w:lvlJc w:val="left"/>
      <w:pPr>
        <w:ind w:left="764" w:hanging="527"/>
        <w:jc w:val="left"/>
      </w:pPr>
      <w:rPr>
        <w:rFonts w:hint="default" w:ascii="宋体" w:hAnsi="宋体" w:eastAsia="宋体" w:cs="宋体"/>
        <w:b w:val="0"/>
        <w:bCs w:val="0"/>
        <w:i w:val="0"/>
        <w:iCs w:val="0"/>
        <w:spacing w:val="-44"/>
        <w:w w:val="100"/>
        <w:sz w:val="19"/>
        <w:szCs w:val="19"/>
        <w:lang w:val="en-US" w:eastAsia="zh-CN" w:bidi="ar-SA"/>
      </w:rPr>
    </w:lvl>
    <w:lvl w:ilvl="1">
      <w:start w:val="0"/>
      <w:numFmt w:val="bullet"/>
      <w:lvlText w:val="•"/>
      <w:lvlJc w:val="left"/>
      <w:pPr>
        <w:ind w:left="1694" w:hanging="527"/>
      </w:pPr>
      <w:rPr>
        <w:rFonts w:hint="default"/>
        <w:lang w:val="en-US" w:eastAsia="zh-CN" w:bidi="ar-SA"/>
      </w:rPr>
    </w:lvl>
    <w:lvl w:ilvl="2">
      <w:start w:val="0"/>
      <w:numFmt w:val="bullet"/>
      <w:lvlText w:val="•"/>
      <w:lvlJc w:val="left"/>
      <w:pPr>
        <w:ind w:left="2629" w:hanging="527"/>
      </w:pPr>
      <w:rPr>
        <w:rFonts w:hint="default"/>
        <w:lang w:val="en-US" w:eastAsia="zh-CN" w:bidi="ar-SA"/>
      </w:rPr>
    </w:lvl>
    <w:lvl w:ilvl="3">
      <w:start w:val="0"/>
      <w:numFmt w:val="bullet"/>
      <w:lvlText w:val="•"/>
      <w:lvlJc w:val="left"/>
      <w:pPr>
        <w:ind w:left="3563" w:hanging="527"/>
      </w:pPr>
      <w:rPr>
        <w:rFonts w:hint="default"/>
        <w:lang w:val="en-US" w:eastAsia="zh-CN" w:bidi="ar-SA"/>
      </w:rPr>
    </w:lvl>
    <w:lvl w:ilvl="4">
      <w:start w:val="0"/>
      <w:numFmt w:val="bullet"/>
      <w:lvlText w:val="•"/>
      <w:lvlJc w:val="left"/>
      <w:pPr>
        <w:ind w:left="4498" w:hanging="527"/>
      </w:pPr>
      <w:rPr>
        <w:rFonts w:hint="default"/>
        <w:lang w:val="en-US" w:eastAsia="zh-CN" w:bidi="ar-SA"/>
      </w:rPr>
    </w:lvl>
    <w:lvl w:ilvl="5">
      <w:start w:val="0"/>
      <w:numFmt w:val="bullet"/>
      <w:lvlText w:val="•"/>
      <w:lvlJc w:val="left"/>
      <w:pPr>
        <w:ind w:left="5433" w:hanging="527"/>
      </w:pPr>
      <w:rPr>
        <w:rFonts w:hint="default"/>
        <w:lang w:val="en-US" w:eastAsia="zh-CN" w:bidi="ar-SA"/>
      </w:rPr>
    </w:lvl>
    <w:lvl w:ilvl="6">
      <w:start w:val="0"/>
      <w:numFmt w:val="bullet"/>
      <w:lvlText w:val="•"/>
      <w:lvlJc w:val="left"/>
      <w:pPr>
        <w:ind w:left="6367" w:hanging="527"/>
      </w:pPr>
      <w:rPr>
        <w:rFonts w:hint="default"/>
        <w:lang w:val="en-US" w:eastAsia="zh-CN" w:bidi="ar-SA"/>
      </w:rPr>
    </w:lvl>
    <w:lvl w:ilvl="7">
      <w:start w:val="0"/>
      <w:numFmt w:val="bullet"/>
      <w:lvlText w:val="•"/>
      <w:lvlJc w:val="left"/>
      <w:pPr>
        <w:ind w:left="7302" w:hanging="527"/>
      </w:pPr>
      <w:rPr>
        <w:rFonts w:hint="default"/>
        <w:lang w:val="en-US" w:eastAsia="zh-CN" w:bidi="ar-SA"/>
      </w:rPr>
    </w:lvl>
    <w:lvl w:ilvl="8">
      <w:start w:val="0"/>
      <w:numFmt w:val="bullet"/>
      <w:lvlText w:val="•"/>
      <w:lvlJc w:val="left"/>
      <w:pPr>
        <w:ind w:left="8237" w:hanging="527"/>
      </w:pPr>
      <w:rPr>
        <w:rFonts w:hint="default"/>
        <w:lang w:val="en-US" w:eastAsia="zh-CN" w:bidi="ar-SA"/>
      </w:rPr>
    </w:lvl>
  </w:abstractNum>
  <w:abstractNum w:abstractNumId="52">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51">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50">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49">
    <w:multiLevelType w:val="hybridMultilevel"/>
    <w:lvl w:ilvl="0">
      <w:start w:val="1"/>
      <w:numFmt w:val="decimal"/>
      <w:lvlText w:val="（%1）"/>
      <w:lvlJc w:val="left"/>
      <w:pPr>
        <w:ind w:left="238"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226" w:hanging="529"/>
      </w:pPr>
      <w:rPr>
        <w:rFonts w:hint="default"/>
        <w:lang w:val="en-US" w:eastAsia="zh-CN" w:bidi="ar-SA"/>
      </w:rPr>
    </w:lvl>
    <w:lvl w:ilvl="2">
      <w:start w:val="0"/>
      <w:numFmt w:val="bullet"/>
      <w:lvlText w:val="•"/>
      <w:lvlJc w:val="left"/>
      <w:pPr>
        <w:ind w:left="2213" w:hanging="529"/>
      </w:pPr>
      <w:rPr>
        <w:rFonts w:hint="default"/>
        <w:lang w:val="en-US" w:eastAsia="zh-CN" w:bidi="ar-SA"/>
      </w:rPr>
    </w:lvl>
    <w:lvl w:ilvl="3">
      <w:start w:val="0"/>
      <w:numFmt w:val="bullet"/>
      <w:lvlText w:val="•"/>
      <w:lvlJc w:val="left"/>
      <w:pPr>
        <w:ind w:left="3199" w:hanging="529"/>
      </w:pPr>
      <w:rPr>
        <w:rFonts w:hint="default"/>
        <w:lang w:val="en-US" w:eastAsia="zh-CN" w:bidi="ar-SA"/>
      </w:rPr>
    </w:lvl>
    <w:lvl w:ilvl="4">
      <w:start w:val="0"/>
      <w:numFmt w:val="bullet"/>
      <w:lvlText w:val="•"/>
      <w:lvlJc w:val="left"/>
      <w:pPr>
        <w:ind w:left="4186" w:hanging="529"/>
      </w:pPr>
      <w:rPr>
        <w:rFonts w:hint="default"/>
        <w:lang w:val="en-US" w:eastAsia="zh-CN" w:bidi="ar-SA"/>
      </w:rPr>
    </w:lvl>
    <w:lvl w:ilvl="5">
      <w:start w:val="0"/>
      <w:numFmt w:val="bullet"/>
      <w:lvlText w:val="•"/>
      <w:lvlJc w:val="left"/>
      <w:pPr>
        <w:ind w:left="5173" w:hanging="529"/>
      </w:pPr>
      <w:rPr>
        <w:rFonts w:hint="default"/>
        <w:lang w:val="en-US" w:eastAsia="zh-CN" w:bidi="ar-SA"/>
      </w:rPr>
    </w:lvl>
    <w:lvl w:ilvl="6">
      <w:start w:val="0"/>
      <w:numFmt w:val="bullet"/>
      <w:lvlText w:val="•"/>
      <w:lvlJc w:val="left"/>
      <w:pPr>
        <w:ind w:left="6159" w:hanging="529"/>
      </w:pPr>
      <w:rPr>
        <w:rFonts w:hint="default"/>
        <w:lang w:val="en-US" w:eastAsia="zh-CN" w:bidi="ar-SA"/>
      </w:rPr>
    </w:lvl>
    <w:lvl w:ilvl="7">
      <w:start w:val="0"/>
      <w:numFmt w:val="bullet"/>
      <w:lvlText w:val="•"/>
      <w:lvlJc w:val="left"/>
      <w:pPr>
        <w:ind w:left="7146" w:hanging="529"/>
      </w:pPr>
      <w:rPr>
        <w:rFonts w:hint="default"/>
        <w:lang w:val="en-US" w:eastAsia="zh-CN" w:bidi="ar-SA"/>
      </w:rPr>
    </w:lvl>
    <w:lvl w:ilvl="8">
      <w:start w:val="0"/>
      <w:numFmt w:val="bullet"/>
      <w:lvlText w:val="•"/>
      <w:lvlJc w:val="left"/>
      <w:pPr>
        <w:ind w:left="8133" w:hanging="529"/>
      </w:pPr>
      <w:rPr>
        <w:rFonts w:hint="default"/>
        <w:lang w:val="en-US" w:eastAsia="zh-CN" w:bidi="ar-SA"/>
      </w:rPr>
    </w:lvl>
  </w:abstractNum>
  <w:abstractNum w:abstractNumId="48">
    <w:multiLevelType w:val="hybridMultilevel"/>
    <w:lvl w:ilvl="0">
      <w:start w:val="1"/>
      <w:numFmt w:val="decimal"/>
      <w:lvlText w:val="（%1）"/>
      <w:lvlJc w:val="left"/>
      <w:pPr>
        <w:ind w:left="238" w:hanging="529"/>
        <w:jc w:val="left"/>
      </w:pPr>
      <w:rPr>
        <w:rFonts w:hint="default" w:ascii="宋体" w:hAnsi="宋体" w:eastAsia="宋体" w:cs="宋体"/>
        <w:b w:val="0"/>
        <w:bCs w:val="0"/>
        <w:i w:val="0"/>
        <w:iCs w:val="0"/>
        <w:spacing w:val="-32"/>
        <w:w w:val="100"/>
        <w:sz w:val="19"/>
        <w:szCs w:val="19"/>
        <w:lang w:val="en-US" w:eastAsia="zh-CN" w:bidi="ar-SA"/>
      </w:rPr>
    </w:lvl>
    <w:lvl w:ilvl="1">
      <w:start w:val="0"/>
      <w:numFmt w:val="bullet"/>
      <w:lvlText w:val="•"/>
      <w:lvlJc w:val="left"/>
      <w:pPr>
        <w:ind w:left="1226" w:hanging="529"/>
      </w:pPr>
      <w:rPr>
        <w:rFonts w:hint="default"/>
        <w:lang w:val="en-US" w:eastAsia="zh-CN" w:bidi="ar-SA"/>
      </w:rPr>
    </w:lvl>
    <w:lvl w:ilvl="2">
      <w:start w:val="0"/>
      <w:numFmt w:val="bullet"/>
      <w:lvlText w:val="•"/>
      <w:lvlJc w:val="left"/>
      <w:pPr>
        <w:ind w:left="2213" w:hanging="529"/>
      </w:pPr>
      <w:rPr>
        <w:rFonts w:hint="default"/>
        <w:lang w:val="en-US" w:eastAsia="zh-CN" w:bidi="ar-SA"/>
      </w:rPr>
    </w:lvl>
    <w:lvl w:ilvl="3">
      <w:start w:val="0"/>
      <w:numFmt w:val="bullet"/>
      <w:lvlText w:val="•"/>
      <w:lvlJc w:val="left"/>
      <w:pPr>
        <w:ind w:left="3199" w:hanging="529"/>
      </w:pPr>
      <w:rPr>
        <w:rFonts w:hint="default"/>
        <w:lang w:val="en-US" w:eastAsia="zh-CN" w:bidi="ar-SA"/>
      </w:rPr>
    </w:lvl>
    <w:lvl w:ilvl="4">
      <w:start w:val="0"/>
      <w:numFmt w:val="bullet"/>
      <w:lvlText w:val="•"/>
      <w:lvlJc w:val="left"/>
      <w:pPr>
        <w:ind w:left="4186" w:hanging="529"/>
      </w:pPr>
      <w:rPr>
        <w:rFonts w:hint="default"/>
        <w:lang w:val="en-US" w:eastAsia="zh-CN" w:bidi="ar-SA"/>
      </w:rPr>
    </w:lvl>
    <w:lvl w:ilvl="5">
      <w:start w:val="0"/>
      <w:numFmt w:val="bullet"/>
      <w:lvlText w:val="•"/>
      <w:lvlJc w:val="left"/>
      <w:pPr>
        <w:ind w:left="5173" w:hanging="529"/>
      </w:pPr>
      <w:rPr>
        <w:rFonts w:hint="default"/>
        <w:lang w:val="en-US" w:eastAsia="zh-CN" w:bidi="ar-SA"/>
      </w:rPr>
    </w:lvl>
    <w:lvl w:ilvl="6">
      <w:start w:val="0"/>
      <w:numFmt w:val="bullet"/>
      <w:lvlText w:val="•"/>
      <w:lvlJc w:val="left"/>
      <w:pPr>
        <w:ind w:left="6159" w:hanging="529"/>
      </w:pPr>
      <w:rPr>
        <w:rFonts w:hint="default"/>
        <w:lang w:val="en-US" w:eastAsia="zh-CN" w:bidi="ar-SA"/>
      </w:rPr>
    </w:lvl>
    <w:lvl w:ilvl="7">
      <w:start w:val="0"/>
      <w:numFmt w:val="bullet"/>
      <w:lvlText w:val="•"/>
      <w:lvlJc w:val="left"/>
      <w:pPr>
        <w:ind w:left="7146" w:hanging="529"/>
      </w:pPr>
      <w:rPr>
        <w:rFonts w:hint="default"/>
        <w:lang w:val="en-US" w:eastAsia="zh-CN" w:bidi="ar-SA"/>
      </w:rPr>
    </w:lvl>
    <w:lvl w:ilvl="8">
      <w:start w:val="0"/>
      <w:numFmt w:val="bullet"/>
      <w:lvlText w:val="•"/>
      <w:lvlJc w:val="left"/>
      <w:pPr>
        <w:ind w:left="8133" w:hanging="529"/>
      </w:pPr>
      <w:rPr>
        <w:rFonts w:hint="default"/>
        <w:lang w:val="en-US" w:eastAsia="zh-CN" w:bidi="ar-SA"/>
      </w:rPr>
    </w:lvl>
  </w:abstractNum>
  <w:abstractNum w:abstractNumId="47">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46">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45">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44">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43">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42">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41">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40">
    <w:multiLevelType w:val="hybridMultilevel"/>
    <w:lvl w:ilvl="0">
      <w:start w:val="1"/>
      <w:numFmt w:val="decimal"/>
      <w:lvlText w:val="（%1）"/>
      <w:lvlJc w:val="left"/>
      <w:pPr>
        <w:ind w:left="238"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226" w:hanging="529"/>
      </w:pPr>
      <w:rPr>
        <w:rFonts w:hint="default"/>
        <w:lang w:val="en-US" w:eastAsia="zh-CN" w:bidi="ar-SA"/>
      </w:rPr>
    </w:lvl>
    <w:lvl w:ilvl="2">
      <w:start w:val="0"/>
      <w:numFmt w:val="bullet"/>
      <w:lvlText w:val="•"/>
      <w:lvlJc w:val="left"/>
      <w:pPr>
        <w:ind w:left="2213" w:hanging="529"/>
      </w:pPr>
      <w:rPr>
        <w:rFonts w:hint="default"/>
        <w:lang w:val="en-US" w:eastAsia="zh-CN" w:bidi="ar-SA"/>
      </w:rPr>
    </w:lvl>
    <w:lvl w:ilvl="3">
      <w:start w:val="0"/>
      <w:numFmt w:val="bullet"/>
      <w:lvlText w:val="•"/>
      <w:lvlJc w:val="left"/>
      <w:pPr>
        <w:ind w:left="3199" w:hanging="529"/>
      </w:pPr>
      <w:rPr>
        <w:rFonts w:hint="default"/>
        <w:lang w:val="en-US" w:eastAsia="zh-CN" w:bidi="ar-SA"/>
      </w:rPr>
    </w:lvl>
    <w:lvl w:ilvl="4">
      <w:start w:val="0"/>
      <w:numFmt w:val="bullet"/>
      <w:lvlText w:val="•"/>
      <w:lvlJc w:val="left"/>
      <w:pPr>
        <w:ind w:left="4186" w:hanging="529"/>
      </w:pPr>
      <w:rPr>
        <w:rFonts w:hint="default"/>
        <w:lang w:val="en-US" w:eastAsia="zh-CN" w:bidi="ar-SA"/>
      </w:rPr>
    </w:lvl>
    <w:lvl w:ilvl="5">
      <w:start w:val="0"/>
      <w:numFmt w:val="bullet"/>
      <w:lvlText w:val="•"/>
      <w:lvlJc w:val="left"/>
      <w:pPr>
        <w:ind w:left="5173" w:hanging="529"/>
      </w:pPr>
      <w:rPr>
        <w:rFonts w:hint="default"/>
        <w:lang w:val="en-US" w:eastAsia="zh-CN" w:bidi="ar-SA"/>
      </w:rPr>
    </w:lvl>
    <w:lvl w:ilvl="6">
      <w:start w:val="0"/>
      <w:numFmt w:val="bullet"/>
      <w:lvlText w:val="•"/>
      <w:lvlJc w:val="left"/>
      <w:pPr>
        <w:ind w:left="6159" w:hanging="529"/>
      </w:pPr>
      <w:rPr>
        <w:rFonts w:hint="default"/>
        <w:lang w:val="en-US" w:eastAsia="zh-CN" w:bidi="ar-SA"/>
      </w:rPr>
    </w:lvl>
    <w:lvl w:ilvl="7">
      <w:start w:val="0"/>
      <w:numFmt w:val="bullet"/>
      <w:lvlText w:val="•"/>
      <w:lvlJc w:val="left"/>
      <w:pPr>
        <w:ind w:left="7146" w:hanging="529"/>
      </w:pPr>
      <w:rPr>
        <w:rFonts w:hint="default"/>
        <w:lang w:val="en-US" w:eastAsia="zh-CN" w:bidi="ar-SA"/>
      </w:rPr>
    </w:lvl>
    <w:lvl w:ilvl="8">
      <w:start w:val="0"/>
      <w:numFmt w:val="bullet"/>
      <w:lvlText w:val="•"/>
      <w:lvlJc w:val="left"/>
      <w:pPr>
        <w:ind w:left="8133" w:hanging="529"/>
      </w:pPr>
      <w:rPr>
        <w:rFonts w:hint="default"/>
        <w:lang w:val="en-US" w:eastAsia="zh-CN" w:bidi="ar-SA"/>
      </w:rPr>
    </w:lvl>
  </w:abstractNum>
  <w:abstractNum w:abstractNumId="39">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38">
    <w:multiLevelType w:val="hybridMultilevel"/>
    <w:lvl w:ilvl="0">
      <w:start w:val="1"/>
      <w:numFmt w:val="decimal"/>
      <w:lvlText w:val="（%1）"/>
      <w:lvlJc w:val="left"/>
      <w:pPr>
        <w:ind w:left="238"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226" w:hanging="529"/>
      </w:pPr>
      <w:rPr>
        <w:rFonts w:hint="default"/>
        <w:lang w:val="en-US" w:eastAsia="zh-CN" w:bidi="ar-SA"/>
      </w:rPr>
    </w:lvl>
    <w:lvl w:ilvl="2">
      <w:start w:val="0"/>
      <w:numFmt w:val="bullet"/>
      <w:lvlText w:val="•"/>
      <w:lvlJc w:val="left"/>
      <w:pPr>
        <w:ind w:left="2213" w:hanging="529"/>
      </w:pPr>
      <w:rPr>
        <w:rFonts w:hint="default"/>
        <w:lang w:val="en-US" w:eastAsia="zh-CN" w:bidi="ar-SA"/>
      </w:rPr>
    </w:lvl>
    <w:lvl w:ilvl="3">
      <w:start w:val="0"/>
      <w:numFmt w:val="bullet"/>
      <w:lvlText w:val="•"/>
      <w:lvlJc w:val="left"/>
      <w:pPr>
        <w:ind w:left="3199" w:hanging="529"/>
      </w:pPr>
      <w:rPr>
        <w:rFonts w:hint="default"/>
        <w:lang w:val="en-US" w:eastAsia="zh-CN" w:bidi="ar-SA"/>
      </w:rPr>
    </w:lvl>
    <w:lvl w:ilvl="4">
      <w:start w:val="0"/>
      <w:numFmt w:val="bullet"/>
      <w:lvlText w:val="•"/>
      <w:lvlJc w:val="left"/>
      <w:pPr>
        <w:ind w:left="4186" w:hanging="529"/>
      </w:pPr>
      <w:rPr>
        <w:rFonts w:hint="default"/>
        <w:lang w:val="en-US" w:eastAsia="zh-CN" w:bidi="ar-SA"/>
      </w:rPr>
    </w:lvl>
    <w:lvl w:ilvl="5">
      <w:start w:val="0"/>
      <w:numFmt w:val="bullet"/>
      <w:lvlText w:val="•"/>
      <w:lvlJc w:val="left"/>
      <w:pPr>
        <w:ind w:left="5173" w:hanging="529"/>
      </w:pPr>
      <w:rPr>
        <w:rFonts w:hint="default"/>
        <w:lang w:val="en-US" w:eastAsia="zh-CN" w:bidi="ar-SA"/>
      </w:rPr>
    </w:lvl>
    <w:lvl w:ilvl="6">
      <w:start w:val="0"/>
      <w:numFmt w:val="bullet"/>
      <w:lvlText w:val="•"/>
      <w:lvlJc w:val="left"/>
      <w:pPr>
        <w:ind w:left="6159" w:hanging="529"/>
      </w:pPr>
      <w:rPr>
        <w:rFonts w:hint="default"/>
        <w:lang w:val="en-US" w:eastAsia="zh-CN" w:bidi="ar-SA"/>
      </w:rPr>
    </w:lvl>
    <w:lvl w:ilvl="7">
      <w:start w:val="0"/>
      <w:numFmt w:val="bullet"/>
      <w:lvlText w:val="•"/>
      <w:lvlJc w:val="left"/>
      <w:pPr>
        <w:ind w:left="7146" w:hanging="529"/>
      </w:pPr>
      <w:rPr>
        <w:rFonts w:hint="default"/>
        <w:lang w:val="en-US" w:eastAsia="zh-CN" w:bidi="ar-SA"/>
      </w:rPr>
    </w:lvl>
    <w:lvl w:ilvl="8">
      <w:start w:val="0"/>
      <w:numFmt w:val="bullet"/>
      <w:lvlText w:val="•"/>
      <w:lvlJc w:val="left"/>
      <w:pPr>
        <w:ind w:left="8133" w:hanging="529"/>
      </w:pPr>
      <w:rPr>
        <w:rFonts w:hint="default"/>
        <w:lang w:val="en-US" w:eastAsia="zh-CN" w:bidi="ar-SA"/>
      </w:rPr>
    </w:lvl>
  </w:abstractNum>
  <w:abstractNum w:abstractNumId="37">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36">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35">
    <w:multiLevelType w:val="hybridMultilevel"/>
    <w:lvl w:ilvl="0">
      <w:start w:val="1"/>
      <w:numFmt w:val="decimal"/>
      <w:lvlText w:val="（%1）"/>
      <w:lvlJc w:val="left"/>
      <w:pPr>
        <w:ind w:left="767" w:hanging="529"/>
        <w:jc w:val="left"/>
      </w:pPr>
      <w:rPr>
        <w:rFonts w:hint="default" w:ascii="宋体" w:hAnsi="宋体" w:eastAsia="宋体" w:cs="宋体"/>
        <w:b/>
        <w:bCs/>
        <w:i w:val="0"/>
        <w:iCs w:val="0"/>
        <w:spacing w:val="-1"/>
        <w:w w:val="99"/>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34">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33">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32">
    <w:multiLevelType w:val="hybridMultilevel"/>
    <w:lvl w:ilvl="0">
      <w:start w:val="2"/>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31">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30">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29">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28">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27">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26">
    <w:multiLevelType w:val="hybridMultilevel"/>
    <w:lvl w:ilvl="0">
      <w:start w:val="1"/>
      <w:numFmt w:val="decimal"/>
      <w:lvlText w:val="（%1）"/>
      <w:lvlJc w:val="left"/>
      <w:pPr>
        <w:ind w:left="238" w:hanging="529"/>
        <w:jc w:val="left"/>
      </w:pPr>
      <w:rPr>
        <w:rFonts w:hint="default" w:ascii="宋体" w:hAnsi="宋体" w:eastAsia="宋体" w:cs="宋体"/>
        <w:b w:val="0"/>
        <w:bCs w:val="0"/>
        <w:i w:val="0"/>
        <w:iCs w:val="0"/>
        <w:spacing w:val="-15"/>
        <w:w w:val="100"/>
        <w:sz w:val="19"/>
        <w:szCs w:val="19"/>
        <w:lang w:val="en-US" w:eastAsia="zh-CN" w:bidi="ar-SA"/>
      </w:rPr>
    </w:lvl>
    <w:lvl w:ilvl="1">
      <w:start w:val="0"/>
      <w:numFmt w:val="bullet"/>
      <w:lvlText w:val="•"/>
      <w:lvlJc w:val="left"/>
      <w:pPr>
        <w:ind w:left="1226" w:hanging="529"/>
      </w:pPr>
      <w:rPr>
        <w:rFonts w:hint="default"/>
        <w:lang w:val="en-US" w:eastAsia="zh-CN" w:bidi="ar-SA"/>
      </w:rPr>
    </w:lvl>
    <w:lvl w:ilvl="2">
      <w:start w:val="0"/>
      <w:numFmt w:val="bullet"/>
      <w:lvlText w:val="•"/>
      <w:lvlJc w:val="left"/>
      <w:pPr>
        <w:ind w:left="2213" w:hanging="529"/>
      </w:pPr>
      <w:rPr>
        <w:rFonts w:hint="default"/>
        <w:lang w:val="en-US" w:eastAsia="zh-CN" w:bidi="ar-SA"/>
      </w:rPr>
    </w:lvl>
    <w:lvl w:ilvl="3">
      <w:start w:val="0"/>
      <w:numFmt w:val="bullet"/>
      <w:lvlText w:val="•"/>
      <w:lvlJc w:val="left"/>
      <w:pPr>
        <w:ind w:left="3199" w:hanging="529"/>
      </w:pPr>
      <w:rPr>
        <w:rFonts w:hint="default"/>
        <w:lang w:val="en-US" w:eastAsia="zh-CN" w:bidi="ar-SA"/>
      </w:rPr>
    </w:lvl>
    <w:lvl w:ilvl="4">
      <w:start w:val="0"/>
      <w:numFmt w:val="bullet"/>
      <w:lvlText w:val="•"/>
      <w:lvlJc w:val="left"/>
      <w:pPr>
        <w:ind w:left="4186" w:hanging="529"/>
      </w:pPr>
      <w:rPr>
        <w:rFonts w:hint="default"/>
        <w:lang w:val="en-US" w:eastAsia="zh-CN" w:bidi="ar-SA"/>
      </w:rPr>
    </w:lvl>
    <w:lvl w:ilvl="5">
      <w:start w:val="0"/>
      <w:numFmt w:val="bullet"/>
      <w:lvlText w:val="•"/>
      <w:lvlJc w:val="left"/>
      <w:pPr>
        <w:ind w:left="5173" w:hanging="529"/>
      </w:pPr>
      <w:rPr>
        <w:rFonts w:hint="default"/>
        <w:lang w:val="en-US" w:eastAsia="zh-CN" w:bidi="ar-SA"/>
      </w:rPr>
    </w:lvl>
    <w:lvl w:ilvl="6">
      <w:start w:val="0"/>
      <w:numFmt w:val="bullet"/>
      <w:lvlText w:val="•"/>
      <w:lvlJc w:val="left"/>
      <w:pPr>
        <w:ind w:left="6159" w:hanging="529"/>
      </w:pPr>
      <w:rPr>
        <w:rFonts w:hint="default"/>
        <w:lang w:val="en-US" w:eastAsia="zh-CN" w:bidi="ar-SA"/>
      </w:rPr>
    </w:lvl>
    <w:lvl w:ilvl="7">
      <w:start w:val="0"/>
      <w:numFmt w:val="bullet"/>
      <w:lvlText w:val="•"/>
      <w:lvlJc w:val="left"/>
      <w:pPr>
        <w:ind w:left="7146" w:hanging="529"/>
      </w:pPr>
      <w:rPr>
        <w:rFonts w:hint="default"/>
        <w:lang w:val="en-US" w:eastAsia="zh-CN" w:bidi="ar-SA"/>
      </w:rPr>
    </w:lvl>
    <w:lvl w:ilvl="8">
      <w:start w:val="0"/>
      <w:numFmt w:val="bullet"/>
      <w:lvlText w:val="•"/>
      <w:lvlJc w:val="left"/>
      <w:pPr>
        <w:ind w:left="8133" w:hanging="529"/>
      </w:pPr>
      <w:rPr>
        <w:rFonts w:hint="default"/>
        <w:lang w:val="en-US" w:eastAsia="zh-CN" w:bidi="ar-SA"/>
      </w:rPr>
    </w:lvl>
  </w:abstractNum>
  <w:abstractNum w:abstractNumId="25">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24">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23">
    <w:multiLevelType w:val="hybridMultilevel"/>
    <w:lvl w:ilvl="0">
      <w:start w:val="1"/>
      <w:numFmt w:val="decimal"/>
      <w:lvlText w:val="（%1）"/>
      <w:lvlJc w:val="left"/>
      <w:pPr>
        <w:ind w:left="238" w:hanging="529"/>
        <w:jc w:val="left"/>
      </w:pPr>
      <w:rPr>
        <w:rFonts w:hint="default" w:ascii="宋体" w:hAnsi="宋体" w:eastAsia="宋体" w:cs="宋体"/>
        <w:b w:val="0"/>
        <w:bCs w:val="0"/>
        <w:i w:val="0"/>
        <w:iCs w:val="0"/>
        <w:spacing w:val="-32"/>
        <w:w w:val="100"/>
        <w:sz w:val="19"/>
        <w:szCs w:val="19"/>
        <w:lang w:val="en-US" w:eastAsia="zh-CN" w:bidi="ar-SA"/>
      </w:rPr>
    </w:lvl>
    <w:lvl w:ilvl="1">
      <w:start w:val="0"/>
      <w:numFmt w:val="bullet"/>
      <w:lvlText w:val="•"/>
      <w:lvlJc w:val="left"/>
      <w:pPr>
        <w:ind w:left="1226" w:hanging="529"/>
      </w:pPr>
      <w:rPr>
        <w:rFonts w:hint="default"/>
        <w:lang w:val="en-US" w:eastAsia="zh-CN" w:bidi="ar-SA"/>
      </w:rPr>
    </w:lvl>
    <w:lvl w:ilvl="2">
      <w:start w:val="0"/>
      <w:numFmt w:val="bullet"/>
      <w:lvlText w:val="•"/>
      <w:lvlJc w:val="left"/>
      <w:pPr>
        <w:ind w:left="2213" w:hanging="529"/>
      </w:pPr>
      <w:rPr>
        <w:rFonts w:hint="default"/>
        <w:lang w:val="en-US" w:eastAsia="zh-CN" w:bidi="ar-SA"/>
      </w:rPr>
    </w:lvl>
    <w:lvl w:ilvl="3">
      <w:start w:val="0"/>
      <w:numFmt w:val="bullet"/>
      <w:lvlText w:val="•"/>
      <w:lvlJc w:val="left"/>
      <w:pPr>
        <w:ind w:left="3199" w:hanging="529"/>
      </w:pPr>
      <w:rPr>
        <w:rFonts w:hint="default"/>
        <w:lang w:val="en-US" w:eastAsia="zh-CN" w:bidi="ar-SA"/>
      </w:rPr>
    </w:lvl>
    <w:lvl w:ilvl="4">
      <w:start w:val="0"/>
      <w:numFmt w:val="bullet"/>
      <w:lvlText w:val="•"/>
      <w:lvlJc w:val="left"/>
      <w:pPr>
        <w:ind w:left="4186" w:hanging="529"/>
      </w:pPr>
      <w:rPr>
        <w:rFonts w:hint="default"/>
        <w:lang w:val="en-US" w:eastAsia="zh-CN" w:bidi="ar-SA"/>
      </w:rPr>
    </w:lvl>
    <w:lvl w:ilvl="5">
      <w:start w:val="0"/>
      <w:numFmt w:val="bullet"/>
      <w:lvlText w:val="•"/>
      <w:lvlJc w:val="left"/>
      <w:pPr>
        <w:ind w:left="5173" w:hanging="529"/>
      </w:pPr>
      <w:rPr>
        <w:rFonts w:hint="default"/>
        <w:lang w:val="en-US" w:eastAsia="zh-CN" w:bidi="ar-SA"/>
      </w:rPr>
    </w:lvl>
    <w:lvl w:ilvl="6">
      <w:start w:val="0"/>
      <w:numFmt w:val="bullet"/>
      <w:lvlText w:val="•"/>
      <w:lvlJc w:val="left"/>
      <w:pPr>
        <w:ind w:left="6159" w:hanging="529"/>
      </w:pPr>
      <w:rPr>
        <w:rFonts w:hint="default"/>
        <w:lang w:val="en-US" w:eastAsia="zh-CN" w:bidi="ar-SA"/>
      </w:rPr>
    </w:lvl>
    <w:lvl w:ilvl="7">
      <w:start w:val="0"/>
      <w:numFmt w:val="bullet"/>
      <w:lvlText w:val="•"/>
      <w:lvlJc w:val="left"/>
      <w:pPr>
        <w:ind w:left="7146" w:hanging="529"/>
      </w:pPr>
      <w:rPr>
        <w:rFonts w:hint="default"/>
        <w:lang w:val="en-US" w:eastAsia="zh-CN" w:bidi="ar-SA"/>
      </w:rPr>
    </w:lvl>
    <w:lvl w:ilvl="8">
      <w:start w:val="0"/>
      <w:numFmt w:val="bullet"/>
      <w:lvlText w:val="•"/>
      <w:lvlJc w:val="left"/>
      <w:pPr>
        <w:ind w:left="8133" w:hanging="529"/>
      </w:pPr>
      <w:rPr>
        <w:rFonts w:hint="default"/>
        <w:lang w:val="en-US" w:eastAsia="zh-CN" w:bidi="ar-SA"/>
      </w:rPr>
    </w:lvl>
  </w:abstractNum>
  <w:abstractNum w:abstractNumId="22">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21">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20">
    <w:multiLevelType w:val="hybridMultilevel"/>
    <w:lvl w:ilvl="0">
      <w:start w:val="3"/>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19">
    <w:multiLevelType w:val="hybridMultilevel"/>
    <w:lvl w:ilvl="0">
      <w:start w:val="1"/>
      <w:numFmt w:val="decimal"/>
      <w:lvlText w:val="（%1）"/>
      <w:lvlJc w:val="left"/>
      <w:pPr>
        <w:ind w:left="767" w:hanging="529"/>
        <w:jc w:val="left"/>
      </w:pPr>
      <w:rPr>
        <w:rFonts w:hint="default" w:ascii="宋体" w:hAnsi="宋体" w:eastAsia="宋体" w:cs="宋体"/>
        <w:b/>
        <w:bCs/>
        <w:i w:val="0"/>
        <w:iCs w:val="0"/>
        <w:spacing w:val="-1"/>
        <w:w w:val="99"/>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18">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17">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16">
    <w:multiLevelType w:val="hybridMultilevel"/>
    <w:lvl w:ilvl="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4" w:hanging="529"/>
      </w:pPr>
      <w:rPr>
        <w:rFonts w:hint="default"/>
        <w:lang w:val="en-US" w:eastAsia="zh-CN" w:bidi="ar-SA"/>
      </w:rPr>
    </w:lvl>
    <w:lvl w:ilvl="2">
      <w:start w:val="0"/>
      <w:numFmt w:val="bullet"/>
      <w:lvlText w:val="•"/>
      <w:lvlJc w:val="left"/>
      <w:pPr>
        <w:ind w:left="2629" w:hanging="529"/>
      </w:pPr>
      <w:rPr>
        <w:rFonts w:hint="default"/>
        <w:lang w:val="en-US" w:eastAsia="zh-CN" w:bidi="ar-SA"/>
      </w:rPr>
    </w:lvl>
    <w:lvl w:ilvl="3">
      <w:start w:val="0"/>
      <w:numFmt w:val="bullet"/>
      <w:lvlText w:val="•"/>
      <w:lvlJc w:val="left"/>
      <w:pPr>
        <w:ind w:left="3563" w:hanging="529"/>
      </w:pPr>
      <w:rPr>
        <w:rFonts w:hint="default"/>
        <w:lang w:val="en-US" w:eastAsia="zh-CN" w:bidi="ar-SA"/>
      </w:rPr>
    </w:lvl>
    <w:lvl w:ilvl="4">
      <w:start w:val="0"/>
      <w:numFmt w:val="bullet"/>
      <w:lvlText w:val="•"/>
      <w:lvlJc w:val="left"/>
      <w:pPr>
        <w:ind w:left="4498"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6367" w:hanging="529"/>
      </w:pPr>
      <w:rPr>
        <w:rFonts w:hint="default"/>
        <w:lang w:val="en-US" w:eastAsia="zh-CN" w:bidi="ar-SA"/>
      </w:rPr>
    </w:lvl>
    <w:lvl w:ilvl="7">
      <w:start w:val="0"/>
      <w:numFmt w:val="bullet"/>
      <w:lvlText w:val="•"/>
      <w:lvlJc w:val="left"/>
      <w:pPr>
        <w:ind w:left="7302" w:hanging="529"/>
      </w:pPr>
      <w:rPr>
        <w:rFonts w:hint="default"/>
        <w:lang w:val="en-US" w:eastAsia="zh-CN" w:bidi="ar-SA"/>
      </w:rPr>
    </w:lvl>
    <w:lvl w:ilvl="8">
      <w:start w:val="0"/>
      <w:numFmt w:val="bullet"/>
      <w:lvlText w:val="•"/>
      <w:lvlJc w:val="left"/>
      <w:pPr>
        <w:ind w:left="8237" w:hanging="529"/>
      </w:pPr>
      <w:rPr>
        <w:rFonts w:hint="default"/>
        <w:lang w:val="en-US" w:eastAsia="zh-CN" w:bidi="ar-SA"/>
      </w:rPr>
    </w:lvl>
  </w:abstractNum>
  <w:abstractNum w:abstractNumId="15">
    <w:multiLevelType w:val="hybridMultilevel"/>
    <w:lvl w:ilvl="0">
      <w:start w:val="1"/>
      <w:numFmt w:val="decimal"/>
      <w:lvlText w:val="（%1）"/>
      <w:lvlJc w:val="left"/>
      <w:pPr>
        <w:ind w:left="238" w:hanging="529"/>
        <w:jc w:val="left"/>
      </w:pPr>
      <w:rPr>
        <w:rFonts w:hint="default" w:ascii="宋体" w:hAnsi="宋体" w:eastAsia="宋体" w:cs="宋体"/>
        <w:b w:val="0"/>
        <w:bCs w:val="0"/>
        <w:i w:val="0"/>
        <w:iCs w:val="0"/>
        <w:spacing w:val="-25"/>
        <w:w w:val="100"/>
        <w:sz w:val="19"/>
        <w:szCs w:val="19"/>
        <w:lang w:val="en-US" w:eastAsia="zh-CN" w:bidi="ar-SA"/>
      </w:rPr>
    </w:lvl>
    <w:lvl w:ilvl="1">
      <w:start w:val="0"/>
      <w:numFmt w:val="bullet"/>
      <w:lvlText w:val="•"/>
      <w:lvlJc w:val="left"/>
      <w:pPr>
        <w:ind w:left="1226" w:hanging="529"/>
      </w:pPr>
      <w:rPr>
        <w:rFonts w:hint="default"/>
        <w:lang w:val="en-US" w:eastAsia="zh-CN" w:bidi="ar-SA"/>
      </w:rPr>
    </w:lvl>
    <w:lvl w:ilvl="2">
      <w:start w:val="0"/>
      <w:numFmt w:val="bullet"/>
      <w:lvlText w:val="•"/>
      <w:lvlJc w:val="left"/>
      <w:pPr>
        <w:ind w:left="2213" w:hanging="529"/>
      </w:pPr>
      <w:rPr>
        <w:rFonts w:hint="default"/>
        <w:lang w:val="en-US" w:eastAsia="zh-CN" w:bidi="ar-SA"/>
      </w:rPr>
    </w:lvl>
    <w:lvl w:ilvl="3">
      <w:start w:val="0"/>
      <w:numFmt w:val="bullet"/>
      <w:lvlText w:val="•"/>
      <w:lvlJc w:val="left"/>
      <w:pPr>
        <w:ind w:left="3199" w:hanging="529"/>
      </w:pPr>
      <w:rPr>
        <w:rFonts w:hint="default"/>
        <w:lang w:val="en-US" w:eastAsia="zh-CN" w:bidi="ar-SA"/>
      </w:rPr>
    </w:lvl>
    <w:lvl w:ilvl="4">
      <w:start w:val="0"/>
      <w:numFmt w:val="bullet"/>
      <w:lvlText w:val="•"/>
      <w:lvlJc w:val="left"/>
      <w:pPr>
        <w:ind w:left="4186" w:hanging="529"/>
      </w:pPr>
      <w:rPr>
        <w:rFonts w:hint="default"/>
        <w:lang w:val="en-US" w:eastAsia="zh-CN" w:bidi="ar-SA"/>
      </w:rPr>
    </w:lvl>
    <w:lvl w:ilvl="5">
      <w:start w:val="0"/>
      <w:numFmt w:val="bullet"/>
      <w:lvlText w:val="•"/>
      <w:lvlJc w:val="left"/>
      <w:pPr>
        <w:ind w:left="5173" w:hanging="529"/>
      </w:pPr>
      <w:rPr>
        <w:rFonts w:hint="default"/>
        <w:lang w:val="en-US" w:eastAsia="zh-CN" w:bidi="ar-SA"/>
      </w:rPr>
    </w:lvl>
    <w:lvl w:ilvl="6">
      <w:start w:val="0"/>
      <w:numFmt w:val="bullet"/>
      <w:lvlText w:val="•"/>
      <w:lvlJc w:val="left"/>
      <w:pPr>
        <w:ind w:left="6159" w:hanging="529"/>
      </w:pPr>
      <w:rPr>
        <w:rFonts w:hint="default"/>
        <w:lang w:val="en-US" w:eastAsia="zh-CN" w:bidi="ar-SA"/>
      </w:rPr>
    </w:lvl>
    <w:lvl w:ilvl="7">
      <w:start w:val="0"/>
      <w:numFmt w:val="bullet"/>
      <w:lvlText w:val="•"/>
      <w:lvlJc w:val="left"/>
      <w:pPr>
        <w:ind w:left="7146" w:hanging="529"/>
      </w:pPr>
      <w:rPr>
        <w:rFonts w:hint="default"/>
        <w:lang w:val="en-US" w:eastAsia="zh-CN" w:bidi="ar-SA"/>
      </w:rPr>
    </w:lvl>
    <w:lvl w:ilvl="8">
      <w:start w:val="0"/>
      <w:numFmt w:val="bullet"/>
      <w:lvlText w:val="•"/>
      <w:lvlJc w:val="left"/>
      <w:pPr>
        <w:ind w:left="8133" w:hanging="529"/>
      </w:pPr>
      <w:rPr>
        <w:rFonts w:hint="default"/>
        <w:lang w:val="en-US" w:eastAsia="zh-CN" w:bidi="ar-SA"/>
      </w:rPr>
    </w:lvl>
  </w:abstractNum>
  <w:abstractNum w:abstractNumId="14">
    <w:multiLevelType w:val="hybridMultilevel"/>
    <w:lvl w:ilvl="0">
      <w:start w:val="1"/>
      <w:numFmt w:val="lowerLetter"/>
      <w:lvlText w:val="%1."/>
      <w:lvlJc w:val="left"/>
      <w:pPr>
        <w:ind w:left="238" w:hanging="214"/>
        <w:jc w:val="left"/>
      </w:pPr>
      <w:rPr>
        <w:rFonts w:hint="default" w:ascii="宋体" w:hAnsi="宋体" w:eastAsia="宋体" w:cs="宋体"/>
        <w:b/>
        <w:bCs/>
        <w:i w:val="0"/>
        <w:iCs w:val="0"/>
        <w:w w:val="99"/>
        <w:sz w:val="19"/>
        <w:szCs w:val="19"/>
        <w:lang w:val="en-US" w:eastAsia="zh-CN" w:bidi="ar-SA"/>
      </w:rPr>
    </w:lvl>
    <w:lvl w:ilvl="1">
      <w:start w:val="0"/>
      <w:numFmt w:val="bullet"/>
      <w:lvlText w:val="•"/>
      <w:lvlJc w:val="left"/>
      <w:pPr>
        <w:ind w:left="1226" w:hanging="214"/>
      </w:pPr>
      <w:rPr>
        <w:rFonts w:hint="default"/>
        <w:lang w:val="en-US" w:eastAsia="zh-CN" w:bidi="ar-SA"/>
      </w:rPr>
    </w:lvl>
    <w:lvl w:ilvl="2">
      <w:start w:val="0"/>
      <w:numFmt w:val="bullet"/>
      <w:lvlText w:val="•"/>
      <w:lvlJc w:val="left"/>
      <w:pPr>
        <w:ind w:left="2213" w:hanging="214"/>
      </w:pPr>
      <w:rPr>
        <w:rFonts w:hint="default"/>
        <w:lang w:val="en-US" w:eastAsia="zh-CN" w:bidi="ar-SA"/>
      </w:rPr>
    </w:lvl>
    <w:lvl w:ilvl="3">
      <w:start w:val="0"/>
      <w:numFmt w:val="bullet"/>
      <w:lvlText w:val="•"/>
      <w:lvlJc w:val="left"/>
      <w:pPr>
        <w:ind w:left="3199" w:hanging="214"/>
      </w:pPr>
      <w:rPr>
        <w:rFonts w:hint="default"/>
        <w:lang w:val="en-US" w:eastAsia="zh-CN" w:bidi="ar-SA"/>
      </w:rPr>
    </w:lvl>
    <w:lvl w:ilvl="4">
      <w:start w:val="0"/>
      <w:numFmt w:val="bullet"/>
      <w:lvlText w:val="•"/>
      <w:lvlJc w:val="left"/>
      <w:pPr>
        <w:ind w:left="4186" w:hanging="214"/>
      </w:pPr>
      <w:rPr>
        <w:rFonts w:hint="default"/>
        <w:lang w:val="en-US" w:eastAsia="zh-CN" w:bidi="ar-SA"/>
      </w:rPr>
    </w:lvl>
    <w:lvl w:ilvl="5">
      <w:start w:val="0"/>
      <w:numFmt w:val="bullet"/>
      <w:lvlText w:val="•"/>
      <w:lvlJc w:val="left"/>
      <w:pPr>
        <w:ind w:left="5173" w:hanging="214"/>
      </w:pPr>
      <w:rPr>
        <w:rFonts w:hint="default"/>
        <w:lang w:val="en-US" w:eastAsia="zh-CN" w:bidi="ar-SA"/>
      </w:rPr>
    </w:lvl>
    <w:lvl w:ilvl="6">
      <w:start w:val="0"/>
      <w:numFmt w:val="bullet"/>
      <w:lvlText w:val="•"/>
      <w:lvlJc w:val="left"/>
      <w:pPr>
        <w:ind w:left="6159" w:hanging="214"/>
      </w:pPr>
      <w:rPr>
        <w:rFonts w:hint="default"/>
        <w:lang w:val="en-US" w:eastAsia="zh-CN" w:bidi="ar-SA"/>
      </w:rPr>
    </w:lvl>
    <w:lvl w:ilvl="7">
      <w:start w:val="0"/>
      <w:numFmt w:val="bullet"/>
      <w:lvlText w:val="•"/>
      <w:lvlJc w:val="left"/>
      <w:pPr>
        <w:ind w:left="7146" w:hanging="214"/>
      </w:pPr>
      <w:rPr>
        <w:rFonts w:hint="default"/>
        <w:lang w:val="en-US" w:eastAsia="zh-CN" w:bidi="ar-SA"/>
      </w:rPr>
    </w:lvl>
    <w:lvl w:ilvl="8">
      <w:start w:val="0"/>
      <w:numFmt w:val="bullet"/>
      <w:lvlText w:val="•"/>
      <w:lvlJc w:val="left"/>
      <w:pPr>
        <w:ind w:left="8133" w:hanging="214"/>
      </w:pPr>
      <w:rPr>
        <w:rFonts w:hint="default"/>
        <w:lang w:val="en-US" w:eastAsia="zh-CN" w:bidi="ar-SA"/>
      </w:rPr>
    </w:lvl>
  </w:abstractNum>
  <w:abstractNum w:abstractNumId="13">
    <w:multiLevelType w:val="hybridMultilevel"/>
    <w:lvl w:ilvl="0">
      <w:start w:val="1"/>
      <w:numFmt w:val="decimal"/>
      <w:lvlText w:val="（%1）"/>
      <w:lvlJc w:val="left"/>
      <w:pPr>
        <w:ind w:left="238" w:hanging="529"/>
        <w:jc w:val="left"/>
      </w:pPr>
      <w:rPr>
        <w:rFonts w:hint="default" w:ascii="宋体" w:hAnsi="宋体" w:eastAsia="宋体" w:cs="宋体"/>
        <w:b/>
        <w:bCs/>
        <w:i w:val="0"/>
        <w:iCs w:val="0"/>
        <w:spacing w:val="-1"/>
        <w:w w:val="99"/>
        <w:sz w:val="19"/>
        <w:szCs w:val="19"/>
        <w:lang w:val="en-US" w:eastAsia="zh-CN" w:bidi="ar-SA"/>
      </w:rPr>
    </w:lvl>
    <w:lvl w:ilvl="1">
      <w:start w:val="0"/>
      <w:numFmt w:val="bullet"/>
      <w:lvlText w:val="•"/>
      <w:lvlJc w:val="left"/>
      <w:pPr>
        <w:ind w:left="1226" w:hanging="529"/>
      </w:pPr>
      <w:rPr>
        <w:rFonts w:hint="default"/>
        <w:lang w:val="en-US" w:eastAsia="zh-CN" w:bidi="ar-SA"/>
      </w:rPr>
    </w:lvl>
    <w:lvl w:ilvl="2">
      <w:start w:val="0"/>
      <w:numFmt w:val="bullet"/>
      <w:lvlText w:val="•"/>
      <w:lvlJc w:val="left"/>
      <w:pPr>
        <w:ind w:left="2213" w:hanging="529"/>
      </w:pPr>
      <w:rPr>
        <w:rFonts w:hint="default"/>
        <w:lang w:val="en-US" w:eastAsia="zh-CN" w:bidi="ar-SA"/>
      </w:rPr>
    </w:lvl>
    <w:lvl w:ilvl="3">
      <w:start w:val="0"/>
      <w:numFmt w:val="bullet"/>
      <w:lvlText w:val="•"/>
      <w:lvlJc w:val="left"/>
      <w:pPr>
        <w:ind w:left="3199" w:hanging="529"/>
      </w:pPr>
      <w:rPr>
        <w:rFonts w:hint="default"/>
        <w:lang w:val="en-US" w:eastAsia="zh-CN" w:bidi="ar-SA"/>
      </w:rPr>
    </w:lvl>
    <w:lvl w:ilvl="4">
      <w:start w:val="0"/>
      <w:numFmt w:val="bullet"/>
      <w:lvlText w:val="•"/>
      <w:lvlJc w:val="left"/>
      <w:pPr>
        <w:ind w:left="4186" w:hanging="529"/>
      </w:pPr>
      <w:rPr>
        <w:rFonts w:hint="default"/>
        <w:lang w:val="en-US" w:eastAsia="zh-CN" w:bidi="ar-SA"/>
      </w:rPr>
    </w:lvl>
    <w:lvl w:ilvl="5">
      <w:start w:val="0"/>
      <w:numFmt w:val="bullet"/>
      <w:lvlText w:val="•"/>
      <w:lvlJc w:val="left"/>
      <w:pPr>
        <w:ind w:left="5173" w:hanging="529"/>
      </w:pPr>
      <w:rPr>
        <w:rFonts w:hint="default"/>
        <w:lang w:val="en-US" w:eastAsia="zh-CN" w:bidi="ar-SA"/>
      </w:rPr>
    </w:lvl>
    <w:lvl w:ilvl="6">
      <w:start w:val="0"/>
      <w:numFmt w:val="bullet"/>
      <w:lvlText w:val="•"/>
      <w:lvlJc w:val="left"/>
      <w:pPr>
        <w:ind w:left="6159" w:hanging="529"/>
      </w:pPr>
      <w:rPr>
        <w:rFonts w:hint="default"/>
        <w:lang w:val="en-US" w:eastAsia="zh-CN" w:bidi="ar-SA"/>
      </w:rPr>
    </w:lvl>
    <w:lvl w:ilvl="7">
      <w:start w:val="0"/>
      <w:numFmt w:val="bullet"/>
      <w:lvlText w:val="•"/>
      <w:lvlJc w:val="left"/>
      <w:pPr>
        <w:ind w:left="7146" w:hanging="529"/>
      </w:pPr>
      <w:rPr>
        <w:rFonts w:hint="default"/>
        <w:lang w:val="en-US" w:eastAsia="zh-CN" w:bidi="ar-SA"/>
      </w:rPr>
    </w:lvl>
    <w:lvl w:ilvl="8">
      <w:start w:val="0"/>
      <w:numFmt w:val="bullet"/>
      <w:lvlText w:val="•"/>
      <w:lvlJc w:val="left"/>
      <w:pPr>
        <w:ind w:left="8133" w:hanging="529"/>
      </w:pPr>
      <w:rPr>
        <w:rFonts w:hint="default"/>
        <w:lang w:val="en-US" w:eastAsia="zh-CN" w:bidi="ar-SA"/>
      </w:rPr>
    </w:lvl>
  </w:abstractNum>
  <w:abstractNum w:abstractNumId="12">
    <w:multiLevelType w:val="hybridMultilevel"/>
    <w:lvl w:ilvl="0">
      <w:start w:val="1"/>
      <w:numFmt w:val="decimal"/>
      <w:lvlText w:val="%1."/>
      <w:lvlJc w:val="left"/>
      <w:pPr>
        <w:ind w:left="1370" w:hanging="28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252" w:hanging="281"/>
      </w:pPr>
      <w:rPr>
        <w:rFonts w:hint="default"/>
        <w:lang w:val="en-US" w:eastAsia="zh-CN" w:bidi="ar-SA"/>
      </w:rPr>
    </w:lvl>
    <w:lvl w:ilvl="2">
      <w:start w:val="0"/>
      <w:numFmt w:val="bullet"/>
      <w:lvlText w:val="•"/>
      <w:lvlJc w:val="left"/>
      <w:pPr>
        <w:ind w:left="3125" w:hanging="281"/>
      </w:pPr>
      <w:rPr>
        <w:rFonts w:hint="default"/>
        <w:lang w:val="en-US" w:eastAsia="zh-CN" w:bidi="ar-SA"/>
      </w:rPr>
    </w:lvl>
    <w:lvl w:ilvl="3">
      <w:start w:val="0"/>
      <w:numFmt w:val="bullet"/>
      <w:lvlText w:val="•"/>
      <w:lvlJc w:val="left"/>
      <w:pPr>
        <w:ind w:left="3997" w:hanging="281"/>
      </w:pPr>
      <w:rPr>
        <w:rFonts w:hint="default"/>
        <w:lang w:val="en-US" w:eastAsia="zh-CN" w:bidi="ar-SA"/>
      </w:rPr>
    </w:lvl>
    <w:lvl w:ilvl="4">
      <w:start w:val="0"/>
      <w:numFmt w:val="bullet"/>
      <w:lvlText w:val="•"/>
      <w:lvlJc w:val="left"/>
      <w:pPr>
        <w:ind w:left="4870" w:hanging="281"/>
      </w:pPr>
      <w:rPr>
        <w:rFonts w:hint="default"/>
        <w:lang w:val="en-US" w:eastAsia="zh-CN" w:bidi="ar-SA"/>
      </w:rPr>
    </w:lvl>
    <w:lvl w:ilvl="5">
      <w:start w:val="0"/>
      <w:numFmt w:val="bullet"/>
      <w:lvlText w:val="•"/>
      <w:lvlJc w:val="left"/>
      <w:pPr>
        <w:ind w:left="5743" w:hanging="281"/>
      </w:pPr>
      <w:rPr>
        <w:rFonts w:hint="default"/>
        <w:lang w:val="en-US" w:eastAsia="zh-CN" w:bidi="ar-SA"/>
      </w:rPr>
    </w:lvl>
    <w:lvl w:ilvl="6">
      <w:start w:val="0"/>
      <w:numFmt w:val="bullet"/>
      <w:lvlText w:val="•"/>
      <w:lvlJc w:val="left"/>
      <w:pPr>
        <w:ind w:left="6615" w:hanging="281"/>
      </w:pPr>
      <w:rPr>
        <w:rFonts w:hint="default"/>
        <w:lang w:val="en-US" w:eastAsia="zh-CN" w:bidi="ar-SA"/>
      </w:rPr>
    </w:lvl>
    <w:lvl w:ilvl="7">
      <w:start w:val="0"/>
      <w:numFmt w:val="bullet"/>
      <w:lvlText w:val="•"/>
      <w:lvlJc w:val="left"/>
      <w:pPr>
        <w:ind w:left="7488" w:hanging="281"/>
      </w:pPr>
      <w:rPr>
        <w:rFonts w:hint="default"/>
        <w:lang w:val="en-US" w:eastAsia="zh-CN" w:bidi="ar-SA"/>
      </w:rPr>
    </w:lvl>
    <w:lvl w:ilvl="8">
      <w:start w:val="0"/>
      <w:numFmt w:val="bullet"/>
      <w:lvlText w:val="•"/>
      <w:lvlJc w:val="left"/>
      <w:pPr>
        <w:ind w:left="8361" w:hanging="281"/>
      </w:pPr>
      <w:rPr>
        <w:rFonts w:hint="default"/>
        <w:lang w:val="en-US" w:eastAsia="zh-CN" w:bidi="ar-SA"/>
      </w:rPr>
    </w:lvl>
  </w:abstractNum>
  <w:abstractNum w:abstractNumId="11">
    <w:multiLevelType w:val="hybridMultilevel"/>
    <w:lvl w:ilvl="0">
      <w:start w:val="1"/>
      <w:numFmt w:val="decimal"/>
      <w:lvlText w:val="%1."/>
      <w:lvlJc w:val="left"/>
      <w:pPr>
        <w:ind w:left="1231" w:hanging="286"/>
        <w:jc w:val="left"/>
      </w:pPr>
      <w:rPr>
        <w:rFonts w:hint="default" w:ascii="宋体" w:hAnsi="宋体" w:eastAsia="宋体" w:cs="宋体"/>
        <w:b w:val="0"/>
        <w:bCs w:val="0"/>
        <w:i w:val="0"/>
        <w:iCs w:val="0"/>
        <w:w w:val="100"/>
        <w:sz w:val="21"/>
        <w:szCs w:val="21"/>
        <w:lang w:val="en-US" w:eastAsia="zh-CN" w:bidi="ar-SA"/>
      </w:rPr>
    </w:lvl>
    <w:lvl w:ilvl="1">
      <w:start w:val="1"/>
      <w:numFmt w:val="decimal"/>
      <w:lvlText w:val="%2."/>
      <w:lvlJc w:val="left"/>
      <w:pPr>
        <w:ind w:left="1370" w:hanging="281"/>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2349" w:hanging="281"/>
      </w:pPr>
      <w:rPr>
        <w:rFonts w:hint="default"/>
        <w:lang w:val="en-US" w:eastAsia="zh-CN" w:bidi="ar-SA"/>
      </w:rPr>
    </w:lvl>
    <w:lvl w:ilvl="3">
      <w:start w:val="0"/>
      <w:numFmt w:val="bullet"/>
      <w:lvlText w:val="•"/>
      <w:lvlJc w:val="left"/>
      <w:pPr>
        <w:ind w:left="3319" w:hanging="281"/>
      </w:pPr>
      <w:rPr>
        <w:rFonts w:hint="default"/>
        <w:lang w:val="en-US" w:eastAsia="zh-CN" w:bidi="ar-SA"/>
      </w:rPr>
    </w:lvl>
    <w:lvl w:ilvl="4">
      <w:start w:val="0"/>
      <w:numFmt w:val="bullet"/>
      <w:lvlText w:val="•"/>
      <w:lvlJc w:val="left"/>
      <w:pPr>
        <w:ind w:left="4288" w:hanging="281"/>
      </w:pPr>
      <w:rPr>
        <w:rFonts w:hint="default"/>
        <w:lang w:val="en-US" w:eastAsia="zh-CN" w:bidi="ar-SA"/>
      </w:rPr>
    </w:lvl>
    <w:lvl w:ilvl="5">
      <w:start w:val="0"/>
      <w:numFmt w:val="bullet"/>
      <w:lvlText w:val="•"/>
      <w:lvlJc w:val="left"/>
      <w:pPr>
        <w:ind w:left="5258" w:hanging="281"/>
      </w:pPr>
      <w:rPr>
        <w:rFonts w:hint="default"/>
        <w:lang w:val="en-US" w:eastAsia="zh-CN" w:bidi="ar-SA"/>
      </w:rPr>
    </w:lvl>
    <w:lvl w:ilvl="6">
      <w:start w:val="0"/>
      <w:numFmt w:val="bullet"/>
      <w:lvlText w:val="•"/>
      <w:lvlJc w:val="left"/>
      <w:pPr>
        <w:ind w:left="6228" w:hanging="281"/>
      </w:pPr>
      <w:rPr>
        <w:rFonts w:hint="default"/>
        <w:lang w:val="en-US" w:eastAsia="zh-CN" w:bidi="ar-SA"/>
      </w:rPr>
    </w:lvl>
    <w:lvl w:ilvl="7">
      <w:start w:val="0"/>
      <w:numFmt w:val="bullet"/>
      <w:lvlText w:val="•"/>
      <w:lvlJc w:val="left"/>
      <w:pPr>
        <w:ind w:left="7197" w:hanging="281"/>
      </w:pPr>
      <w:rPr>
        <w:rFonts w:hint="default"/>
        <w:lang w:val="en-US" w:eastAsia="zh-CN" w:bidi="ar-SA"/>
      </w:rPr>
    </w:lvl>
    <w:lvl w:ilvl="8">
      <w:start w:val="0"/>
      <w:numFmt w:val="bullet"/>
      <w:lvlText w:val="•"/>
      <w:lvlJc w:val="left"/>
      <w:pPr>
        <w:ind w:left="8167" w:hanging="281"/>
      </w:pPr>
      <w:rPr>
        <w:rFonts w:hint="default"/>
        <w:lang w:val="en-US" w:eastAsia="zh-CN" w:bidi="ar-SA"/>
      </w:rPr>
    </w:lvl>
  </w:abstractNum>
  <w:abstractNum w:abstractNumId="10">
    <w:multiLevelType w:val="hybridMultilevel"/>
    <w:lvl w:ilvl="0">
      <w:start w:val="1"/>
      <w:numFmt w:val="decimal"/>
      <w:lvlText w:val="%1."/>
      <w:lvlJc w:val="left"/>
      <w:pPr>
        <w:ind w:left="870" w:hanging="213"/>
        <w:jc w:val="left"/>
      </w:pPr>
      <w:rPr>
        <w:rFonts w:hint="default" w:ascii="宋体" w:hAnsi="宋体" w:eastAsia="宋体" w:cs="宋体"/>
        <w:b w:val="0"/>
        <w:bCs w:val="0"/>
        <w:i w:val="0"/>
        <w:iCs w:val="0"/>
        <w:w w:val="100"/>
        <w:sz w:val="19"/>
        <w:szCs w:val="19"/>
        <w:lang w:val="en-US" w:eastAsia="zh-CN" w:bidi="ar-SA"/>
      </w:rPr>
    </w:lvl>
    <w:lvl w:ilvl="1">
      <w:start w:val="1"/>
      <w:numFmt w:val="decimal"/>
      <w:lvlText w:val="%2."/>
      <w:lvlJc w:val="left"/>
      <w:pPr>
        <w:ind w:left="1231" w:hanging="286"/>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2225" w:hanging="286"/>
      </w:pPr>
      <w:rPr>
        <w:rFonts w:hint="default"/>
        <w:lang w:val="en-US" w:eastAsia="zh-CN" w:bidi="ar-SA"/>
      </w:rPr>
    </w:lvl>
    <w:lvl w:ilvl="3">
      <w:start w:val="0"/>
      <w:numFmt w:val="bullet"/>
      <w:lvlText w:val="•"/>
      <w:lvlJc w:val="left"/>
      <w:pPr>
        <w:ind w:left="3210" w:hanging="286"/>
      </w:pPr>
      <w:rPr>
        <w:rFonts w:hint="default"/>
        <w:lang w:val="en-US" w:eastAsia="zh-CN" w:bidi="ar-SA"/>
      </w:rPr>
    </w:lvl>
    <w:lvl w:ilvl="4">
      <w:start w:val="0"/>
      <w:numFmt w:val="bullet"/>
      <w:lvlText w:val="•"/>
      <w:lvlJc w:val="left"/>
      <w:pPr>
        <w:ind w:left="4195" w:hanging="286"/>
      </w:pPr>
      <w:rPr>
        <w:rFonts w:hint="default"/>
        <w:lang w:val="en-US" w:eastAsia="zh-CN" w:bidi="ar-SA"/>
      </w:rPr>
    </w:lvl>
    <w:lvl w:ilvl="5">
      <w:start w:val="0"/>
      <w:numFmt w:val="bullet"/>
      <w:lvlText w:val="•"/>
      <w:lvlJc w:val="left"/>
      <w:pPr>
        <w:ind w:left="5180" w:hanging="286"/>
      </w:pPr>
      <w:rPr>
        <w:rFonts w:hint="default"/>
        <w:lang w:val="en-US" w:eastAsia="zh-CN" w:bidi="ar-SA"/>
      </w:rPr>
    </w:lvl>
    <w:lvl w:ilvl="6">
      <w:start w:val="0"/>
      <w:numFmt w:val="bullet"/>
      <w:lvlText w:val="•"/>
      <w:lvlJc w:val="left"/>
      <w:pPr>
        <w:ind w:left="6165" w:hanging="286"/>
      </w:pPr>
      <w:rPr>
        <w:rFonts w:hint="default"/>
        <w:lang w:val="en-US" w:eastAsia="zh-CN" w:bidi="ar-SA"/>
      </w:rPr>
    </w:lvl>
    <w:lvl w:ilvl="7">
      <w:start w:val="0"/>
      <w:numFmt w:val="bullet"/>
      <w:lvlText w:val="•"/>
      <w:lvlJc w:val="left"/>
      <w:pPr>
        <w:ind w:left="7150" w:hanging="286"/>
      </w:pPr>
      <w:rPr>
        <w:rFonts w:hint="default"/>
        <w:lang w:val="en-US" w:eastAsia="zh-CN" w:bidi="ar-SA"/>
      </w:rPr>
    </w:lvl>
    <w:lvl w:ilvl="8">
      <w:start w:val="0"/>
      <w:numFmt w:val="bullet"/>
      <w:lvlText w:val="•"/>
      <w:lvlJc w:val="left"/>
      <w:pPr>
        <w:ind w:left="8136" w:hanging="286"/>
      </w:pPr>
      <w:rPr>
        <w:rFonts w:hint="default"/>
        <w:lang w:val="en-US" w:eastAsia="zh-CN" w:bidi="ar-SA"/>
      </w:rPr>
    </w:lvl>
  </w:abstractNum>
  <w:abstractNum w:abstractNumId="9">
    <w:multiLevelType w:val="hybridMultilevel"/>
    <w:lvl w:ilvl="0">
      <w:start w:val="1"/>
      <w:numFmt w:val="decimal"/>
      <w:lvlText w:val="%1."/>
      <w:lvlJc w:val="left"/>
      <w:pPr>
        <w:ind w:left="870" w:hanging="213"/>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802" w:hanging="213"/>
      </w:pPr>
      <w:rPr>
        <w:rFonts w:hint="default"/>
        <w:lang w:val="en-US" w:eastAsia="zh-CN" w:bidi="ar-SA"/>
      </w:rPr>
    </w:lvl>
    <w:lvl w:ilvl="2">
      <w:start w:val="0"/>
      <w:numFmt w:val="bullet"/>
      <w:lvlText w:val="•"/>
      <w:lvlJc w:val="left"/>
      <w:pPr>
        <w:ind w:left="2725" w:hanging="213"/>
      </w:pPr>
      <w:rPr>
        <w:rFonts w:hint="default"/>
        <w:lang w:val="en-US" w:eastAsia="zh-CN" w:bidi="ar-SA"/>
      </w:rPr>
    </w:lvl>
    <w:lvl w:ilvl="3">
      <w:start w:val="0"/>
      <w:numFmt w:val="bullet"/>
      <w:lvlText w:val="•"/>
      <w:lvlJc w:val="left"/>
      <w:pPr>
        <w:ind w:left="3647" w:hanging="213"/>
      </w:pPr>
      <w:rPr>
        <w:rFonts w:hint="default"/>
        <w:lang w:val="en-US" w:eastAsia="zh-CN" w:bidi="ar-SA"/>
      </w:rPr>
    </w:lvl>
    <w:lvl w:ilvl="4">
      <w:start w:val="0"/>
      <w:numFmt w:val="bullet"/>
      <w:lvlText w:val="•"/>
      <w:lvlJc w:val="left"/>
      <w:pPr>
        <w:ind w:left="4570" w:hanging="213"/>
      </w:pPr>
      <w:rPr>
        <w:rFonts w:hint="default"/>
        <w:lang w:val="en-US" w:eastAsia="zh-CN" w:bidi="ar-SA"/>
      </w:rPr>
    </w:lvl>
    <w:lvl w:ilvl="5">
      <w:start w:val="0"/>
      <w:numFmt w:val="bullet"/>
      <w:lvlText w:val="•"/>
      <w:lvlJc w:val="left"/>
      <w:pPr>
        <w:ind w:left="5493" w:hanging="213"/>
      </w:pPr>
      <w:rPr>
        <w:rFonts w:hint="default"/>
        <w:lang w:val="en-US" w:eastAsia="zh-CN" w:bidi="ar-SA"/>
      </w:rPr>
    </w:lvl>
    <w:lvl w:ilvl="6">
      <w:start w:val="0"/>
      <w:numFmt w:val="bullet"/>
      <w:lvlText w:val="•"/>
      <w:lvlJc w:val="left"/>
      <w:pPr>
        <w:ind w:left="6415" w:hanging="213"/>
      </w:pPr>
      <w:rPr>
        <w:rFonts w:hint="default"/>
        <w:lang w:val="en-US" w:eastAsia="zh-CN" w:bidi="ar-SA"/>
      </w:rPr>
    </w:lvl>
    <w:lvl w:ilvl="7">
      <w:start w:val="0"/>
      <w:numFmt w:val="bullet"/>
      <w:lvlText w:val="•"/>
      <w:lvlJc w:val="left"/>
      <w:pPr>
        <w:ind w:left="7338" w:hanging="213"/>
      </w:pPr>
      <w:rPr>
        <w:rFonts w:hint="default"/>
        <w:lang w:val="en-US" w:eastAsia="zh-CN" w:bidi="ar-SA"/>
      </w:rPr>
    </w:lvl>
    <w:lvl w:ilvl="8">
      <w:start w:val="0"/>
      <w:numFmt w:val="bullet"/>
      <w:lvlText w:val="•"/>
      <w:lvlJc w:val="left"/>
      <w:pPr>
        <w:ind w:left="8261" w:hanging="213"/>
      </w:pPr>
      <w:rPr>
        <w:rFonts w:hint="default"/>
        <w:lang w:val="en-US" w:eastAsia="zh-CN" w:bidi="ar-SA"/>
      </w:rPr>
    </w:lvl>
  </w:abstractNum>
  <w:abstractNum w:abstractNumId="8">
    <w:multiLevelType w:val="hybridMultilevel"/>
    <w:lvl w:ilvl="0">
      <w:start w:val="1"/>
      <w:numFmt w:val="decimal"/>
      <w:lvlText w:val="%1."/>
      <w:lvlJc w:val="left"/>
      <w:pPr>
        <w:ind w:left="870" w:hanging="213"/>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802" w:hanging="213"/>
      </w:pPr>
      <w:rPr>
        <w:rFonts w:hint="default"/>
        <w:lang w:val="en-US" w:eastAsia="zh-CN" w:bidi="ar-SA"/>
      </w:rPr>
    </w:lvl>
    <w:lvl w:ilvl="2">
      <w:start w:val="0"/>
      <w:numFmt w:val="bullet"/>
      <w:lvlText w:val="•"/>
      <w:lvlJc w:val="left"/>
      <w:pPr>
        <w:ind w:left="2725" w:hanging="213"/>
      </w:pPr>
      <w:rPr>
        <w:rFonts w:hint="default"/>
        <w:lang w:val="en-US" w:eastAsia="zh-CN" w:bidi="ar-SA"/>
      </w:rPr>
    </w:lvl>
    <w:lvl w:ilvl="3">
      <w:start w:val="0"/>
      <w:numFmt w:val="bullet"/>
      <w:lvlText w:val="•"/>
      <w:lvlJc w:val="left"/>
      <w:pPr>
        <w:ind w:left="3647" w:hanging="213"/>
      </w:pPr>
      <w:rPr>
        <w:rFonts w:hint="default"/>
        <w:lang w:val="en-US" w:eastAsia="zh-CN" w:bidi="ar-SA"/>
      </w:rPr>
    </w:lvl>
    <w:lvl w:ilvl="4">
      <w:start w:val="0"/>
      <w:numFmt w:val="bullet"/>
      <w:lvlText w:val="•"/>
      <w:lvlJc w:val="left"/>
      <w:pPr>
        <w:ind w:left="4570" w:hanging="213"/>
      </w:pPr>
      <w:rPr>
        <w:rFonts w:hint="default"/>
        <w:lang w:val="en-US" w:eastAsia="zh-CN" w:bidi="ar-SA"/>
      </w:rPr>
    </w:lvl>
    <w:lvl w:ilvl="5">
      <w:start w:val="0"/>
      <w:numFmt w:val="bullet"/>
      <w:lvlText w:val="•"/>
      <w:lvlJc w:val="left"/>
      <w:pPr>
        <w:ind w:left="5493" w:hanging="213"/>
      </w:pPr>
      <w:rPr>
        <w:rFonts w:hint="default"/>
        <w:lang w:val="en-US" w:eastAsia="zh-CN" w:bidi="ar-SA"/>
      </w:rPr>
    </w:lvl>
    <w:lvl w:ilvl="6">
      <w:start w:val="0"/>
      <w:numFmt w:val="bullet"/>
      <w:lvlText w:val="•"/>
      <w:lvlJc w:val="left"/>
      <w:pPr>
        <w:ind w:left="6415" w:hanging="213"/>
      </w:pPr>
      <w:rPr>
        <w:rFonts w:hint="default"/>
        <w:lang w:val="en-US" w:eastAsia="zh-CN" w:bidi="ar-SA"/>
      </w:rPr>
    </w:lvl>
    <w:lvl w:ilvl="7">
      <w:start w:val="0"/>
      <w:numFmt w:val="bullet"/>
      <w:lvlText w:val="•"/>
      <w:lvlJc w:val="left"/>
      <w:pPr>
        <w:ind w:left="7338" w:hanging="213"/>
      </w:pPr>
      <w:rPr>
        <w:rFonts w:hint="default"/>
        <w:lang w:val="en-US" w:eastAsia="zh-CN" w:bidi="ar-SA"/>
      </w:rPr>
    </w:lvl>
    <w:lvl w:ilvl="8">
      <w:start w:val="0"/>
      <w:numFmt w:val="bullet"/>
      <w:lvlText w:val="•"/>
      <w:lvlJc w:val="left"/>
      <w:pPr>
        <w:ind w:left="8261" w:hanging="213"/>
      </w:pPr>
      <w:rPr>
        <w:rFonts w:hint="default"/>
        <w:lang w:val="en-US" w:eastAsia="zh-CN" w:bidi="ar-SA"/>
      </w:rPr>
    </w:lvl>
  </w:abstractNum>
  <w:abstractNum w:abstractNumId="7">
    <w:multiLevelType w:val="hybridMultilevel"/>
    <w:lvl w:ilvl="0">
      <w:start w:val="1"/>
      <w:numFmt w:val="decimal"/>
      <w:lvlText w:val="%1."/>
      <w:lvlJc w:val="left"/>
      <w:pPr>
        <w:ind w:left="870" w:hanging="213"/>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802" w:hanging="213"/>
      </w:pPr>
      <w:rPr>
        <w:rFonts w:hint="default"/>
        <w:lang w:val="en-US" w:eastAsia="zh-CN" w:bidi="ar-SA"/>
      </w:rPr>
    </w:lvl>
    <w:lvl w:ilvl="2">
      <w:start w:val="0"/>
      <w:numFmt w:val="bullet"/>
      <w:lvlText w:val="•"/>
      <w:lvlJc w:val="left"/>
      <w:pPr>
        <w:ind w:left="2725" w:hanging="213"/>
      </w:pPr>
      <w:rPr>
        <w:rFonts w:hint="default"/>
        <w:lang w:val="en-US" w:eastAsia="zh-CN" w:bidi="ar-SA"/>
      </w:rPr>
    </w:lvl>
    <w:lvl w:ilvl="3">
      <w:start w:val="0"/>
      <w:numFmt w:val="bullet"/>
      <w:lvlText w:val="•"/>
      <w:lvlJc w:val="left"/>
      <w:pPr>
        <w:ind w:left="3647" w:hanging="213"/>
      </w:pPr>
      <w:rPr>
        <w:rFonts w:hint="default"/>
        <w:lang w:val="en-US" w:eastAsia="zh-CN" w:bidi="ar-SA"/>
      </w:rPr>
    </w:lvl>
    <w:lvl w:ilvl="4">
      <w:start w:val="0"/>
      <w:numFmt w:val="bullet"/>
      <w:lvlText w:val="•"/>
      <w:lvlJc w:val="left"/>
      <w:pPr>
        <w:ind w:left="4570" w:hanging="213"/>
      </w:pPr>
      <w:rPr>
        <w:rFonts w:hint="default"/>
        <w:lang w:val="en-US" w:eastAsia="zh-CN" w:bidi="ar-SA"/>
      </w:rPr>
    </w:lvl>
    <w:lvl w:ilvl="5">
      <w:start w:val="0"/>
      <w:numFmt w:val="bullet"/>
      <w:lvlText w:val="•"/>
      <w:lvlJc w:val="left"/>
      <w:pPr>
        <w:ind w:left="5493" w:hanging="213"/>
      </w:pPr>
      <w:rPr>
        <w:rFonts w:hint="default"/>
        <w:lang w:val="en-US" w:eastAsia="zh-CN" w:bidi="ar-SA"/>
      </w:rPr>
    </w:lvl>
    <w:lvl w:ilvl="6">
      <w:start w:val="0"/>
      <w:numFmt w:val="bullet"/>
      <w:lvlText w:val="•"/>
      <w:lvlJc w:val="left"/>
      <w:pPr>
        <w:ind w:left="6415" w:hanging="213"/>
      </w:pPr>
      <w:rPr>
        <w:rFonts w:hint="default"/>
        <w:lang w:val="en-US" w:eastAsia="zh-CN" w:bidi="ar-SA"/>
      </w:rPr>
    </w:lvl>
    <w:lvl w:ilvl="7">
      <w:start w:val="0"/>
      <w:numFmt w:val="bullet"/>
      <w:lvlText w:val="•"/>
      <w:lvlJc w:val="left"/>
      <w:pPr>
        <w:ind w:left="7338" w:hanging="213"/>
      </w:pPr>
      <w:rPr>
        <w:rFonts w:hint="default"/>
        <w:lang w:val="en-US" w:eastAsia="zh-CN" w:bidi="ar-SA"/>
      </w:rPr>
    </w:lvl>
    <w:lvl w:ilvl="8">
      <w:start w:val="0"/>
      <w:numFmt w:val="bullet"/>
      <w:lvlText w:val="•"/>
      <w:lvlJc w:val="left"/>
      <w:pPr>
        <w:ind w:left="8261" w:hanging="213"/>
      </w:pPr>
      <w:rPr>
        <w:rFonts w:hint="default"/>
        <w:lang w:val="en-US" w:eastAsia="zh-CN" w:bidi="ar-SA"/>
      </w:rPr>
    </w:lvl>
  </w:abstractNum>
  <w:abstractNum w:abstractNumId="6">
    <w:multiLevelType w:val="hybridMultilevel"/>
    <w:lvl w:ilvl="0">
      <w:start w:val="1"/>
      <w:numFmt w:val="decimal"/>
      <w:lvlText w:val="%1."/>
      <w:lvlJc w:val="left"/>
      <w:pPr>
        <w:ind w:left="870" w:hanging="213"/>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802" w:hanging="213"/>
      </w:pPr>
      <w:rPr>
        <w:rFonts w:hint="default"/>
        <w:lang w:val="en-US" w:eastAsia="zh-CN" w:bidi="ar-SA"/>
      </w:rPr>
    </w:lvl>
    <w:lvl w:ilvl="2">
      <w:start w:val="0"/>
      <w:numFmt w:val="bullet"/>
      <w:lvlText w:val="•"/>
      <w:lvlJc w:val="left"/>
      <w:pPr>
        <w:ind w:left="2725" w:hanging="213"/>
      </w:pPr>
      <w:rPr>
        <w:rFonts w:hint="default"/>
        <w:lang w:val="en-US" w:eastAsia="zh-CN" w:bidi="ar-SA"/>
      </w:rPr>
    </w:lvl>
    <w:lvl w:ilvl="3">
      <w:start w:val="0"/>
      <w:numFmt w:val="bullet"/>
      <w:lvlText w:val="•"/>
      <w:lvlJc w:val="left"/>
      <w:pPr>
        <w:ind w:left="3647" w:hanging="213"/>
      </w:pPr>
      <w:rPr>
        <w:rFonts w:hint="default"/>
        <w:lang w:val="en-US" w:eastAsia="zh-CN" w:bidi="ar-SA"/>
      </w:rPr>
    </w:lvl>
    <w:lvl w:ilvl="4">
      <w:start w:val="0"/>
      <w:numFmt w:val="bullet"/>
      <w:lvlText w:val="•"/>
      <w:lvlJc w:val="left"/>
      <w:pPr>
        <w:ind w:left="4570" w:hanging="213"/>
      </w:pPr>
      <w:rPr>
        <w:rFonts w:hint="default"/>
        <w:lang w:val="en-US" w:eastAsia="zh-CN" w:bidi="ar-SA"/>
      </w:rPr>
    </w:lvl>
    <w:lvl w:ilvl="5">
      <w:start w:val="0"/>
      <w:numFmt w:val="bullet"/>
      <w:lvlText w:val="•"/>
      <w:lvlJc w:val="left"/>
      <w:pPr>
        <w:ind w:left="5493" w:hanging="213"/>
      </w:pPr>
      <w:rPr>
        <w:rFonts w:hint="default"/>
        <w:lang w:val="en-US" w:eastAsia="zh-CN" w:bidi="ar-SA"/>
      </w:rPr>
    </w:lvl>
    <w:lvl w:ilvl="6">
      <w:start w:val="0"/>
      <w:numFmt w:val="bullet"/>
      <w:lvlText w:val="•"/>
      <w:lvlJc w:val="left"/>
      <w:pPr>
        <w:ind w:left="6415" w:hanging="213"/>
      </w:pPr>
      <w:rPr>
        <w:rFonts w:hint="default"/>
        <w:lang w:val="en-US" w:eastAsia="zh-CN" w:bidi="ar-SA"/>
      </w:rPr>
    </w:lvl>
    <w:lvl w:ilvl="7">
      <w:start w:val="0"/>
      <w:numFmt w:val="bullet"/>
      <w:lvlText w:val="•"/>
      <w:lvlJc w:val="left"/>
      <w:pPr>
        <w:ind w:left="7338" w:hanging="213"/>
      </w:pPr>
      <w:rPr>
        <w:rFonts w:hint="default"/>
        <w:lang w:val="en-US" w:eastAsia="zh-CN" w:bidi="ar-SA"/>
      </w:rPr>
    </w:lvl>
    <w:lvl w:ilvl="8">
      <w:start w:val="0"/>
      <w:numFmt w:val="bullet"/>
      <w:lvlText w:val="•"/>
      <w:lvlJc w:val="left"/>
      <w:pPr>
        <w:ind w:left="8261" w:hanging="213"/>
      </w:pPr>
      <w:rPr>
        <w:rFonts w:hint="default"/>
        <w:lang w:val="en-US" w:eastAsia="zh-CN" w:bidi="ar-SA"/>
      </w:rPr>
    </w:lvl>
  </w:abstractNum>
  <w:abstractNum w:abstractNumId="5">
    <w:multiLevelType w:val="hybridMultilevel"/>
    <w:lvl w:ilvl="0">
      <w:start w:val="1"/>
      <w:numFmt w:val="decimal"/>
      <w:lvlText w:val="（%1）"/>
      <w:lvlJc w:val="left"/>
      <w:pPr>
        <w:ind w:left="238" w:hanging="529"/>
        <w:jc w:val="left"/>
      </w:pPr>
      <w:rPr>
        <w:rFonts w:hint="default" w:ascii="宋体" w:hAnsi="宋体" w:eastAsia="宋体" w:cs="宋体"/>
        <w:b w:val="0"/>
        <w:bCs w:val="0"/>
        <w:i w:val="0"/>
        <w:iCs w:val="0"/>
        <w:spacing w:val="-25"/>
        <w:w w:val="100"/>
        <w:sz w:val="19"/>
        <w:szCs w:val="19"/>
        <w:lang w:val="en-US" w:eastAsia="zh-CN" w:bidi="ar-SA"/>
      </w:rPr>
    </w:lvl>
    <w:lvl w:ilvl="1">
      <w:start w:val="0"/>
      <w:numFmt w:val="bullet"/>
      <w:lvlText w:val="•"/>
      <w:lvlJc w:val="left"/>
      <w:pPr>
        <w:ind w:left="1226" w:hanging="529"/>
      </w:pPr>
      <w:rPr>
        <w:rFonts w:hint="default"/>
        <w:lang w:val="en-US" w:eastAsia="zh-CN" w:bidi="ar-SA"/>
      </w:rPr>
    </w:lvl>
    <w:lvl w:ilvl="2">
      <w:start w:val="0"/>
      <w:numFmt w:val="bullet"/>
      <w:lvlText w:val="•"/>
      <w:lvlJc w:val="left"/>
      <w:pPr>
        <w:ind w:left="2213" w:hanging="529"/>
      </w:pPr>
      <w:rPr>
        <w:rFonts w:hint="default"/>
        <w:lang w:val="en-US" w:eastAsia="zh-CN" w:bidi="ar-SA"/>
      </w:rPr>
    </w:lvl>
    <w:lvl w:ilvl="3">
      <w:start w:val="0"/>
      <w:numFmt w:val="bullet"/>
      <w:lvlText w:val="•"/>
      <w:lvlJc w:val="left"/>
      <w:pPr>
        <w:ind w:left="3199" w:hanging="529"/>
      </w:pPr>
      <w:rPr>
        <w:rFonts w:hint="default"/>
        <w:lang w:val="en-US" w:eastAsia="zh-CN" w:bidi="ar-SA"/>
      </w:rPr>
    </w:lvl>
    <w:lvl w:ilvl="4">
      <w:start w:val="0"/>
      <w:numFmt w:val="bullet"/>
      <w:lvlText w:val="•"/>
      <w:lvlJc w:val="left"/>
      <w:pPr>
        <w:ind w:left="4186" w:hanging="529"/>
      </w:pPr>
      <w:rPr>
        <w:rFonts w:hint="default"/>
        <w:lang w:val="en-US" w:eastAsia="zh-CN" w:bidi="ar-SA"/>
      </w:rPr>
    </w:lvl>
    <w:lvl w:ilvl="5">
      <w:start w:val="0"/>
      <w:numFmt w:val="bullet"/>
      <w:lvlText w:val="•"/>
      <w:lvlJc w:val="left"/>
      <w:pPr>
        <w:ind w:left="5173" w:hanging="529"/>
      </w:pPr>
      <w:rPr>
        <w:rFonts w:hint="default"/>
        <w:lang w:val="en-US" w:eastAsia="zh-CN" w:bidi="ar-SA"/>
      </w:rPr>
    </w:lvl>
    <w:lvl w:ilvl="6">
      <w:start w:val="0"/>
      <w:numFmt w:val="bullet"/>
      <w:lvlText w:val="•"/>
      <w:lvlJc w:val="left"/>
      <w:pPr>
        <w:ind w:left="6159" w:hanging="529"/>
      </w:pPr>
      <w:rPr>
        <w:rFonts w:hint="default"/>
        <w:lang w:val="en-US" w:eastAsia="zh-CN" w:bidi="ar-SA"/>
      </w:rPr>
    </w:lvl>
    <w:lvl w:ilvl="7">
      <w:start w:val="0"/>
      <w:numFmt w:val="bullet"/>
      <w:lvlText w:val="•"/>
      <w:lvlJc w:val="left"/>
      <w:pPr>
        <w:ind w:left="7146" w:hanging="529"/>
      </w:pPr>
      <w:rPr>
        <w:rFonts w:hint="default"/>
        <w:lang w:val="en-US" w:eastAsia="zh-CN" w:bidi="ar-SA"/>
      </w:rPr>
    </w:lvl>
    <w:lvl w:ilvl="8">
      <w:start w:val="0"/>
      <w:numFmt w:val="bullet"/>
      <w:lvlText w:val="•"/>
      <w:lvlJc w:val="left"/>
      <w:pPr>
        <w:ind w:left="8133" w:hanging="529"/>
      </w:pPr>
      <w:rPr>
        <w:rFonts w:hint="default"/>
        <w:lang w:val="en-US" w:eastAsia="zh-CN" w:bidi="ar-SA"/>
      </w:rPr>
    </w:lvl>
  </w:abstractNum>
  <w:abstractNum w:abstractNumId="4">
    <w:multiLevelType w:val="hybridMultilevel"/>
    <w:lvl w:ilvl="0">
      <w:start w:val="1"/>
      <w:numFmt w:val="decimal"/>
      <w:lvlText w:val="%1."/>
      <w:lvlJc w:val="left"/>
      <w:pPr>
        <w:ind w:left="870" w:hanging="213"/>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802" w:hanging="213"/>
      </w:pPr>
      <w:rPr>
        <w:rFonts w:hint="default"/>
        <w:lang w:val="en-US" w:eastAsia="zh-CN" w:bidi="ar-SA"/>
      </w:rPr>
    </w:lvl>
    <w:lvl w:ilvl="2">
      <w:start w:val="0"/>
      <w:numFmt w:val="bullet"/>
      <w:lvlText w:val="•"/>
      <w:lvlJc w:val="left"/>
      <w:pPr>
        <w:ind w:left="2725" w:hanging="213"/>
      </w:pPr>
      <w:rPr>
        <w:rFonts w:hint="default"/>
        <w:lang w:val="en-US" w:eastAsia="zh-CN" w:bidi="ar-SA"/>
      </w:rPr>
    </w:lvl>
    <w:lvl w:ilvl="3">
      <w:start w:val="0"/>
      <w:numFmt w:val="bullet"/>
      <w:lvlText w:val="•"/>
      <w:lvlJc w:val="left"/>
      <w:pPr>
        <w:ind w:left="3647" w:hanging="213"/>
      </w:pPr>
      <w:rPr>
        <w:rFonts w:hint="default"/>
        <w:lang w:val="en-US" w:eastAsia="zh-CN" w:bidi="ar-SA"/>
      </w:rPr>
    </w:lvl>
    <w:lvl w:ilvl="4">
      <w:start w:val="0"/>
      <w:numFmt w:val="bullet"/>
      <w:lvlText w:val="•"/>
      <w:lvlJc w:val="left"/>
      <w:pPr>
        <w:ind w:left="4570" w:hanging="213"/>
      </w:pPr>
      <w:rPr>
        <w:rFonts w:hint="default"/>
        <w:lang w:val="en-US" w:eastAsia="zh-CN" w:bidi="ar-SA"/>
      </w:rPr>
    </w:lvl>
    <w:lvl w:ilvl="5">
      <w:start w:val="0"/>
      <w:numFmt w:val="bullet"/>
      <w:lvlText w:val="•"/>
      <w:lvlJc w:val="left"/>
      <w:pPr>
        <w:ind w:left="5493" w:hanging="213"/>
      </w:pPr>
      <w:rPr>
        <w:rFonts w:hint="default"/>
        <w:lang w:val="en-US" w:eastAsia="zh-CN" w:bidi="ar-SA"/>
      </w:rPr>
    </w:lvl>
    <w:lvl w:ilvl="6">
      <w:start w:val="0"/>
      <w:numFmt w:val="bullet"/>
      <w:lvlText w:val="•"/>
      <w:lvlJc w:val="left"/>
      <w:pPr>
        <w:ind w:left="6415" w:hanging="213"/>
      </w:pPr>
      <w:rPr>
        <w:rFonts w:hint="default"/>
        <w:lang w:val="en-US" w:eastAsia="zh-CN" w:bidi="ar-SA"/>
      </w:rPr>
    </w:lvl>
    <w:lvl w:ilvl="7">
      <w:start w:val="0"/>
      <w:numFmt w:val="bullet"/>
      <w:lvlText w:val="•"/>
      <w:lvlJc w:val="left"/>
      <w:pPr>
        <w:ind w:left="7338" w:hanging="213"/>
      </w:pPr>
      <w:rPr>
        <w:rFonts w:hint="default"/>
        <w:lang w:val="en-US" w:eastAsia="zh-CN" w:bidi="ar-SA"/>
      </w:rPr>
    </w:lvl>
    <w:lvl w:ilvl="8">
      <w:start w:val="0"/>
      <w:numFmt w:val="bullet"/>
      <w:lvlText w:val="•"/>
      <w:lvlJc w:val="left"/>
      <w:pPr>
        <w:ind w:left="8261" w:hanging="213"/>
      </w:pPr>
      <w:rPr>
        <w:rFonts w:hint="default"/>
        <w:lang w:val="en-US" w:eastAsia="zh-CN" w:bidi="ar-SA"/>
      </w:rPr>
    </w:lvl>
  </w:abstractNum>
  <w:abstractNum w:abstractNumId="3">
    <w:multiLevelType w:val="hybridMultilevel"/>
    <w:lvl w:ilvl="0">
      <w:start w:val="1"/>
      <w:numFmt w:val="decimal"/>
      <w:lvlText w:val="（%1）"/>
      <w:lvlJc w:val="left"/>
      <w:pPr>
        <w:ind w:left="118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2072" w:hanging="529"/>
      </w:pPr>
      <w:rPr>
        <w:rFonts w:hint="default"/>
        <w:lang w:val="en-US" w:eastAsia="zh-CN" w:bidi="ar-SA"/>
      </w:rPr>
    </w:lvl>
    <w:lvl w:ilvl="2">
      <w:start w:val="0"/>
      <w:numFmt w:val="bullet"/>
      <w:lvlText w:val="•"/>
      <w:lvlJc w:val="left"/>
      <w:pPr>
        <w:ind w:left="2965" w:hanging="529"/>
      </w:pPr>
      <w:rPr>
        <w:rFonts w:hint="default"/>
        <w:lang w:val="en-US" w:eastAsia="zh-CN" w:bidi="ar-SA"/>
      </w:rPr>
    </w:lvl>
    <w:lvl w:ilvl="3">
      <w:start w:val="0"/>
      <w:numFmt w:val="bullet"/>
      <w:lvlText w:val="•"/>
      <w:lvlJc w:val="left"/>
      <w:pPr>
        <w:ind w:left="3857" w:hanging="529"/>
      </w:pPr>
      <w:rPr>
        <w:rFonts w:hint="default"/>
        <w:lang w:val="en-US" w:eastAsia="zh-CN" w:bidi="ar-SA"/>
      </w:rPr>
    </w:lvl>
    <w:lvl w:ilvl="4">
      <w:start w:val="0"/>
      <w:numFmt w:val="bullet"/>
      <w:lvlText w:val="•"/>
      <w:lvlJc w:val="left"/>
      <w:pPr>
        <w:ind w:left="4750" w:hanging="529"/>
      </w:pPr>
      <w:rPr>
        <w:rFonts w:hint="default"/>
        <w:lang w:val="en-US" w:eastAsia="zh-CN" w:bidi="ar-SA"/>
      </w:rPr>
    </w:lvl>
    <w:lvl w:ilvl="5">
      <w:start w:val="0"/>
      <w:numFmt w:val="bullet"/>
      <w:lvlText w:val="•"/>
      <w:lvlJc w:val="left"/>
      <w:pPr>
        <w:ind w:left="5643" w:hanging="529"/>
      </w:pPr>
      <w:rPr>
        <w:rFonts w:hint="default"/>
        <w:lang w:val="en-US" w:eastAsia="zh-CN" w:bidi="ar-SA"/>
      </w:rPr>
    </w:lvl>
    <w:lvl w:ilvl="6">
      <w:start w:val="0"/>
      <w:numFmt w:val="bullet"/>
      <w:lvlText w:val="•"/>
      <w:lvlJc w:val="left"/>
      <w:pPr>
        <w:ind w:left="6535" w:hanging="529"/>
      </w:pPr>
      <w:rPr>
        <w:rFonts w:hint="default"/>
        <w:lang w:val="en-US" w:eastAsia="zh-CN" w:bidi="ar-SA"/>
      </w:rPr>
    </w:lvl>
    <w:lvl w:ilvl="7">
      <w:start w:val="0"/>
      <w:numFmt w:val="bullet"/>
      <w:lvlText w:val="•"/>
      <w:lvlJc w:val="left"/>
      <w:pPr>
        <w:ind w:left="7428" w:hanging="529"/>
      </w:pPr>
      <w:rPr>
        <w:rFonts w:hint="default"/>
        <w:lang w:val="en-US" w:eastAsia="zh-CN" w:bidi="ar-SA"/>
      </w:rPr>
    </w:lvl>
    <w:lvl w:ilvl="8">
      <w:start w:val="0"/>
      <w:numFmt w:val="bullet"/>
      <w:lvlText w:val="•"/>
      <w:lvlJc w:val="left"/>
      <w:pPr>
        <w:ind w:left="8321" w:hanging="529"/>
      </w:pPr>
      <w:rPr>
        <w:rFonts w:hint="default"/>
        <w:lang w:val="en-US" w:eastAsia="zh-CN" w:bidi="ar-SA"/>
      </w:rPr>
    </w:lvl>
  </w:abstractNum>
  <w:abstractNum w:abstractNumId="2">
    <w:multiLevelType w:val="hybridMultilevel"/>
    <w:lvl w:ilvl="0">
      <w:start w:val="1"/>
      <w:numFmt w:val="decimal"/>
      <w:lvlText w:val="（%1）"/>
      <w:lvlJc w:val="left"/>
      <w:pPr>
        <w:ind w:left="118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2072" w:hanging="529"/>
      </w:pPr>
      <w:rPr>
        <w:rFonts w:hint="default"/>
        <w:lang w:val="en-US" w:eastAsia="zh-CN" w:bidi="ar-SA"/>
      </w:rPr>
    </w:lvl>
    <w:lvl w:ilvl="2">
      <w:start w:val="0"/>
      <w:numFmt w:val="bullet"/>
      <w:lvlText w:val="•"/>
      <w:lvlJc w:val="left"/>
      <w:pPr>
        <w:ind w:left="2965" w:hanging="529"/>
      </w:pPr>
      <w:rPr>
        <w:rFonts w:hint="default"/>
        <w:lang w:val="en-US" w:eastAsia="zh-CN" w:bidi="ar-SA"/>
      </w:rPr>
    </w:lvl>
    <w:lvl w:ilvl="3">
      <w:start w:val="0"/>
      <w:numFmt w:val="bullet"/>
      <w:lvlText w:val="•"/>
      <w:lvlJc w:val="left"/>
      <w:pPr>
        <w:ind w:left="3857" w:hanging="529"/>
      </w:pPr>
      <w:rPr>
        <w:rFonts w:hint="default"/>
        <w:lang w:val="en-US" w:eastAsia="zh-CN" w:bidi="ar-SA"/>
      </w:rPr>
    </w:lvl>
    <w:lvl w:ilvl="4">
      <w:start w:val="0"/>
      <w:numFmt w:val="bullet"/>
      <w:lvlText w:val="•"/>
      <w:lvlJc w:val="left"/>
      <w:pPr>
        <w:ind w:left="4750" w:hanging="529"/>
      </w:pPr>
      <w:rPr>
        <w:rFonts w:hint="default"/>
        <w:lang w:val="en-US" w:eastAsia="zh-CN" w:bidi="ar-SA"/>
      </w:rPr>
    </w:lvl>
    <w:lvl w:ilvl="5">
      <w:start w:val="0"/>
      <w:numFmt w:val="bullet"/>
      <w:lvlText w:val="•"/>
      <w:lvlJc w:val="left"/>
      <w:pPr>
        <w:ind w:left="5643" w:hanging="529"/>
      </w:pPr>
      <w:rPr>
        <w:rFonts w:hint="default"/>
        <w:lang w:val="en-US" w:eastAsia="zh-CN" w:bidi="ar-SA"/>
      </w:rPr>
    </w:lvl>
    <w:lvl w:ilvl="6">
      <w:start w:val="0"/>
      <w:numFmt w:val="bullet"/>
      <w:lvlText w:val="•"/>
      <w:lvlJc w:val="left"/>
      <w:pPr>
        <w:ind w:left="6535" w:hanging="529"/>
      </w:pPr>
      <w:rPr>
        <w:rFonts w:hint="default"/>
        <w:lang w:val="en-US" w:eastAsia="zh-CN" w:bidi="ar-SA"/>
      </w:rPr>
    </w:lvl>
    <w:lvl w:ilvl="7">
      <w:start w:val="0"/>
      <w:numFmt w:val="bullet"/>
      <w:lvlText w:val="•"/>
      <w:lvlJc w:val="left"/>
      <w:pPr>
        <w:ind w:left="7428" w:hanging="529"/>
      </w:pPr>
      <w:rPr>
        <w:rFonts w:hint="default"/>
        <w:lang w:val="en-US" w:eastAsia="zh-CN" w:bidi="ar-SA"/>
      </w:rPr>
    </w:lvl>
    <w:lvl w:ilvl="8">
      <w:start w:val="0"/>
      <w:numFmt w:val="bullet"/>
      <w:lvlText w:val="•"/>
      <w:lvlJc w:val="left"/>
      <w:pPr>
        <w:ind w:left="8321" w:hanging="529"/>
      </w:pPr>
      <w:rPr>
        <w:rFonts w:hint="default"/>
        <w:lang w:val="en-US" w:eastAsia="zh-CN" w:bidi="ar-SA"/>
      </w:rPr>
    </w:lvl>
  </w:abstractNum>
  <w:abstractNum w:abstractNumId="1">
    <w:multiLevelType w:val="hybridMultilevel"/>
    <w:lvl w:ilvl="0">
      <w:start w:val="2"/>
      <w:numFmt w:val="decimal"/>
      <w:lvlText w:val="%1."/>
      <w:lvlJc w:val="left"/>
      <w:pPr>
        <w:ind w:left="870" w:hanging="213"/>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802" w:hanging="213"/>
      </w:pPr>
      <w:rPr>
        <w:rFonts w:hint="default"/>
        <w:lang w:val="en-US" w:eastAsia="zh-CN" w:bidi="ar-SA"/>
      </w:rPr>
    </w:lvl>
    <w:lvl w:ilvl="2">
      <w:start w:val="0"/>
      <w:numFmt w:val="bullet"/>
      <w:lvlText w:val="•"/>
      <w:lvlJc w:val="left"/>
      <w:pPr>
        <w:ind w:left="2725" w:hanging="213"/>
      </w:pPr>
      <w:rPr>
        <w:rFonts w:hint="default"/>
        <w:lang w:val="en-US" w:eastAsia="zh-CN" w:bidi="ar-SA"/>
      </w:rPr>
    </w:lvl>
    <w:lvl w:ilvl="3">
      <w:start w:val="0"/>
      <w:numFmt w:val="bullet"/>
      <w:lvlText w:val="•"/>
      <w:lvlJc w:val="left"/>
      <w:pPr>
        <w:ind w:left="3647" w:hanging="213"/>
      </w:pPr>
      <w:rPr>
        <w:rFonts w:hint="default"/>
        <w:lang w:val="en-US" w:eastAsia="zh-CN" w:bidi="ar-SA"/>
      </w:rPr>
    </w:lvl>
    <w:lvl w:ilvl="4">
      <w:start w:val="0"/>
      <w:numFmt w:val="bullet"/>
      <w:lvlText w:val="•"/>
      <w:lvlJc w:val="left"/>
      <w:pPr>
        <w:ind w:left="4570" w:hanging="213"/>
      </w:pPr>
      <w:rPr>
        <w:rFonts w:hint="default"/>
        <w:lang w:val="en-US" w:eastAsia="zh-CN" w:bidi="ar-SA"/>
      </w:rPr>
    </w:lvl>
    <w:lvl w:ilvl="5">
      <w:start w:val="0"/>
      <w:numFmt w:val="bullet"/>
      <w:lvlText w:val="•"/>
      <w:lvlJc w:val="left"/>
      <w:pPr>
        <w:ind w:left="5493" w:hanging="213"/>
      </w:pPr>
      <w:rPr>
        <w:rFonts w:hint="default"/>
        <w:lang w:val="en-US" w:eastAsia="zh-CN" w:bidi="ar-SA"/>
      </w:rPr>
    </w:lvl>
    <w:lvl w:ilvl="6">
      <w:start w:val="0"/>
      <w:numFmt w:val="bullet"/>
      <w:lvlText w:val="•"/>
      <w:lvlJc w:val="left"/>
      <w:pPr>
        <w:ind w:left="6415" w:hanging="213"/>
      </w:pPr>
      <w:rPr>
        <w:rFonts w:hint="default"/>
        <w:lang w:val="en-US" w:eastAsia="zh-CN" w:bidi="ar-SA"/>
      </w:rPr>
    </w:lvl>
    <w:lvl w:ilvl="7">
      <w:start w:val="0"/>
      <w:numFmt w:val="bullet"/>
      <w:lvlText w:val="•"/>
      <w:lvlJc w:val="left"/>
      <w:pPr>
        <w:ind w:left="7338" w:hanging="213"/>
      </w:pPr>
      <w:rPr>
        <w:rFonts w:hint="default"/>
        <w:lang w:val="en-US" w:eastAsia="zh-CN" w:bidi="ar-SA"/>
      </w:rPr>
    </w:lvl>
    <w:lvl w:ilvl="8">
      <w:start w:val="0"/>
      <w:numFmt w:val="bullet"/>
      <w:lvlText w:val="•"/>
      <w:lvlJc w:val="left"/>
      <w:pPr>
        <w:ind w:left="8261" w:hanging="213"/>
      </w:pPr>
      <w:rPr>
        <w:rFonts w:hint="default"/>
        <w:lang w:val="en-US" w:eastAsia="zh-CN" w:bidi="ar-SA"/>
      </w:rPr>
    </w:lvl>
  </w:abstractNum>
  <w:abstractNum w:abstractNumId="0">
    <w:multiLevelType w:val="hybridMultilevel"/>
    <w:lvl w:ilvl="0">
      <w:start w:val="1"/>
      <w:numFmt w:val="decimal"/>
      <w:lvlText w:val="（%1）"/>
      <w:lvlJc w:val="left"/>
      <w:pPr>
        <w:ind w:left="118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2072" w:hanging="529"/>
      </w:pPr>
      <w:rPr>
        <w:rFonts w:hint="default"/>
        <w:lang w:val="en-US" w:eastAsia="zh-CN" w:bidi="ar-SA"/>
      </w:rPr>
    </w:lvl>
    <w:lvl w:ilvl="2">
      <w:start w:val="0"/>
      <w:numFmt w:val="bullet"/>
      <w:lvlText w:val="•"/>
      <w:lvlJc w:val="left"/>
      <w:pPr>
        <w:ind w:left="2965" w:hanging="529"/>
      </w:pPr>
      <w:rPr>
        <w:rFonts w:hint="default"/>
        <w:lang w:val="en-US" w:eastAsia="zh-CN" w:bidi="ar-SA"/>
      </w:rPr>
    </w:lvl>
    <w:lvl w:ilvl="3">
      <w:start w:val="0"/>
      <w:numFmt w:val="bullet"/>
      <w:lvlText w:val="•"/>
      <w:lvlJc w:val="left"/>
      <w:pPr>
        <w:ind w:left="3857" w:hanging="529"/>
      </w:pPr>
      <w:rPr>
        <w:rFonts w:hint="default"/>
        <w:lang w:val="en-US" w:eastAsia="zh-CN" w:bidi="ar-SA"/>
      </w:rPr>
    </w:lvl>
    <w:lvl w:ilvl="4">
      <w:start w:val="0"/>
      <w:numFmt w:val="bullet"/>
      <w:lvlText w:val="•"/>
      <w:lvlJc w:val="left"/>
      <w:pPr>
        <w:ind w:left="4750" w:hanging="529"/>
      </w:pPr>
      <w:rPr>
        <w:rFonts w:hint="default"/>
        <w:lang w:val="en-US" w:eastAsia="zh-CN" w:bidi="ar-SA"/>
      </w:rPr>
    </w:lvl>
    <w:lvl w:ilvl="5">
      <w:start w:val="0"/>
      <w:numFmt w:val="bullet"/>
      <w:lvlText w:val="•"/>
      <w:lvlJc w:val="left"/>
      <w:pPr>
        <w:ind w:left="5643" w:hanging="529"/>
      </w:pPr>
      <w:rPr>
        <w:rFonts w:hint="default"/>
        <w:lang w:val="en-US" w:eastAsia="zh-CN" w:bidi="ar-SA"/>
      </w:rPr>
    </w:lvl>
    <w:lvl w:ilvl="6">
      <w:start w:val="0"/>
      <w:numFmt w:val="bullet"/>
      <w:lvlText w:val="•"/>
      <w:lvlJc w:val="left"/>
      <w:pPr>
        <w:ind w:left="6535" w:hanging="529"/>
      </w:pPr>
      <w:rPr>
        <w:rFonts w:hint="default"/>
        <w:lang w:val="en-US" w:eastAsia="zh-CN" w:bidi="ar-SA"/>
      </w:rPr>
    </w:lvl>
    <w:lvl w:ilvl="7">
      <w:start w:val="0"/>
      <w:numFmt w:val="bullet"/>
      <w:lvlText w:val="•"/>
      <w:lvlJc w:val="left"/>
      <w:pPr>
        <w:ind w:left="7428" w:hanging="529"/>
      </w:pPr>
      <w:rPr>
        <w:rFonts w:hint="default"/>
        <w:lang w:val="en-US" w:eastAsia="zh-CN" w:bidi="ar-SA"/>
      </w:rPr>
    </w:lvl>
    <w:lvl w:ilvl="8">
      <w:start w:val="0"/>
      <w:numFmt w:val="bullet"/>
      <w:lvlText w:val="•"/>
      <w:lvlJc w:val="left"/>
      <w:pPr>
        <w:ind w:left="8321" w:hanging="529"/>
      </w:pPr>
      <w:rPr>
        <w:rFonts w:hint="default"/>
        <w:lang w:val="en-US" w:eastAsia="zh-CN" w:bidi="ar-SA"/>
      </w:rPr>
    </w:lvl>
  </w:abstractNum>
  <w:num w:numId="123">
    <w:abstractNumId w:val="122"/>
  </w:num>
  <w:num w:numId="122">
    <w:abstractNumId w:val="121"/>
  </w:num>
  <w:num w:numId="121">
    <w:abstractNumId w:val="120"/>
  </w:num>
  <w:num w:numId="120">
    <w:abstractNumId w:val="119"/>
  </w:num>
  <w:num w:numId="119">
    <w:abstractNumId w:val="118"/>
  </w:num>
  <w:num w:numId="118">
    <w:abstractNumId w:val="117"/>
  </w:num>
  <w:num w:numId="117">
    <w:abstractNumId w:val="116"/>
  </w:num>
  <w:num w:numId="116">
    <w:abstractNumId w:val="115"/>
  </w:num>
  <w:num w:numId="115">
    <w:abstractNumId w:val="114"/>
  </w:num>
  <w:num w:numId="114">
    <w:abstractNumId w:val="113"/>
  </w:num>
  <w:num w:numId="113">
    <w:abstractNumId w:val="112"/>
  </w:num>
  <w:num w:numId="112">
    <w:abstractNumId w:val="111"/>
  </w:num>
  <w:num w:numId="111">
    <w:abstractNumId w:val="110"/>
  </w:num>
  <w:num w:numId="110">
    <w:abstractNumId w:val="109"/>
  </w:num>
  <w:num w:numId="109">
    <w:abstractNumId w:val="108"/>
  </w:num>
  <w:num w:numId="108">
    <w:abstractNumId w:val="107"/>
  </w:num>
  <w:num w:numId="107">
    <w:abstractNumId w:val="106"/>
  </w:num>
  <w:num w:numId="106">
    <w:abstractNumId w:val="105"/>
  </w:num>
  <w:num w:numId="105">
    <w:abstractNumId w:val="104"/>
  </w:num>
  <w:num w:numId="104">
    <w:abstractNumId w:val="103"/>
  </w:num>
  <w:num w:numId="103">
    <w:abstractNumId w:val="102"/>
  </w:num>
  <w:num w:numId="102">
    <w:abstractNumId w:val="101"/>
  </w:num>
  <w:num w:numId="101">
    <w:abstractNumId w:val="100"/>
  </w:num>
  <w:num w:numId="100">
    <w:abstractNumId w:val="99"/>
  </w:num>
  <w:num w:numId="99">
    <w:abstractNumId w:val="98"/>
  </w:num>
  <w:num w:numId="98">
    <w:abstractNumId w:val="97"/>
  </w:num>
  <w:num w:numId="97">
    <w:abstractNumId w:val="96"/>
  </w:num>
  <w:num w:numId="96">
    <w:abstractNumId w:val="95"/>
  </w:num>
  <w:num w:numId="95">
    <w:abstractNumId w:val="94"/>
  </w:num>
  <w:num w:numId="94">
    <w:abstractNumId w:val="93"/>
  </w:num>
  <w:num w:numId="93">
    <w:abstractNumId w:val="92"/>
  </w:num>
  <w:num w:numId="92">
    <w:abstractNumId w:val="91"/>
  </w:num>
  <w:num w:numId="91">
    <w:abstractNumId w:val="90"/>
  </w:num>
  <w:num w:numId="90">
    <w:abstractNumId w:val="89"/>
  </w:num>
  <w:num w:numId="89">
    <w:abstractNumId w:val="88"/>
  </w:num>
  <w:num w:numId="88">
    <w:abstractNumId w:val="87"/>
  </w:num>
  <w:num w:numId="87">
    <w:abstractNumId w:val="86"/>
  </w:num>
  <w:num w:numId="86">
    <w:abstractNumId w:val="85"/>
  </w:num>
  <w:num w:numId="85">
    <w:abstractNumId w:val="84"/>
  </w:num>
  <w:num w:numId="84">
    <w:abstractNumId w:val="83"/>
  </w:num>
  <w:num w:numId="83">
    <w:abstractNumId w:val="82"/>
  </w:num>
  <w:num w:numId="82">
    <w:abstractNumId w:val="81"/>
  </w:num>
  <w:num w:numId="81">
    <w:abstractNumId w:val="80"/>
  </w:num>
  <w:num w:numId="80">
    <w:abstractNumId w:val="79"/>
  </w:num>
  <w:num w:numId="79">
    <w:abstractNumId w:val="78"/>
  </w:num>
  <w:num w:numId="78">
    <w:abstractNumId w:val="77"/>
  </w:num>
  <w:num w:numId="77">
    <w:abstractNumId w:val="76"/>
  </w:num>
  <w:num w:numId="76">
    <w:abstractNumId w:val="75"/>
  </w:num>
  <w:num w:numId="75">
    <w:abstractNumId w:val="74"/>
  </w:num>
  <w:num w:numId="74">
    <w:abstractNumId w:val="73"/>
  </w:num>
  <w:num w:numId="73">
    <w:abstractNumId w:val="72"/>
  </w:num>
  <w:num w:numId="72">
    <w:abstractNumId w:val="71"/>
  </w:num>
  <w:num w:numId="71">
    <w:abstractNumId w:val="70"/>
  </w:num>
  <w:num w:numId="70">
    <w:abstractNumId w:val="69"/>
  </w:num>
  <w:num w:numId="69">
    <w:abstractNumId w:val="68"/>
  </w:num>
  <w:num w:numId="68">
    <w:abstractNumId w:val="67"/>
  </w:num>
  <w:num w:numId="67">
    <w:abstractNumId w:val="66"/>
  </w:num>
  <w:num w:numId="66">
    <w:abstractNumId w:val="65"/>
  </w:num>
  <w:num w:numId="65">
    <w:abstractNumId w:val="64"/>
  </w:num>
  <w:num w:numId="64">
    <w:abstractNumId w:val="63"/>
  </w:num>
  <w:num w:numId="63">
    <w:abstractNumId w:val="62"/>
  </w:num>
  <w:num w:numId="62">
    <w:abstractNumId w:val="61"/>
  </w:num>
  <w:num w:numId="61">
    <w:abstractNumId w:val="60"/>
  </w:num>
  <w:num w:numId="60">
    <w:abstractNumId w:val="59"/>
  </w:num>
  <w:num w:numId="59">
    <w:abstractNumId w:val="58"/>
  </w:num>
  <w:num w:numId="58">
    <w:abstractNumId w:val="57"/>
  </w:num>
  <w:num w:numId="57">
    <w:abstractNumId w:val="56"/>
  </w:num>
  <w:num w:numId="56">
    <w:abstractNumId w:val="55"/>
  </w:num>
  <w:num w:numId="55">
    <w:abstractNumId w:val="54"/>
  </w:num>
  <w:num w:numId="54">
    <w:abstractNumId w:val="53"/>
  </w:num>
  <w:num w:numId="53">
    <w:abstractNumId w:val="52"/>
  </w:num>
  <w:num w:numId="52">
    <w:abstractNumId w:val="51"/>
  </w:num>
  <w:num w:numId="51">
    <w:abstractNumId w:val="50"/>
  </w:num>
  <w:num w:numId="50">
    <w:abstractNumId w:val="49"/>
  </w:num>
  <w:num w:numId="49">
    <w:abstractNumId w:val="48"/>
  </w: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TOC1" w:type="paragraph">
    <w:name w:val="TOC 1"/>
    <w:basedOn w:val="Normal"/>
    <w:uiPriority w:val="1"/>
    <w:qFormat/>
    <w:pPr>
      <w:spacing w:before="43"/>
      <w:ind w:left="238"/>
    </w:pPr>
    <w:rPr>
      <w:rFonts w:ascii="宋体" w:hAnsi="宋体" w:eastAsia="宋体" w:cs="宋体"/>
      <w:b/>
      <w:bCs/>
      <w:sz w:val="21"/>
      <w:szCs w:val="21"/>
      <w:lang w:val="en-US" w:eastAsia="zh-CN" w:bidi="ar-SA"/>
    </w:rPr>
  </w:style>
  <w:style w:styleId="TOC2" w:type="paragraph">
    <w:name w:val="TOC 2"/>
    <w:basedOn w:val="Normal"/>
    <w:uiPriority w:val="1"/>
    <w:qFormat/>
    <w:pPr>
      <w:spacing w:before="43"/>
      <w:ind w:left="658"/>
    </w:pPr>
    <w:rPr>
      <w:rFonts w:ascii="宋体" w:hAnsi="宋体" w:eastAsia="宋体" w:cs="宋体"/>
      <w:b/>
      <w:bCs/>
      <w:sz w:val="21"/>
      <w:szCs w:val="21"/>
      <w:lang w:val="en-US" w:eastAsia="zh-CN" w:bidi="ar-SA"/>
    </w:rPr>
  </w:style>
  <w:style w:styleId="TOC3" w:type="paragraph">
    <w:name w:val="TOC 3"/>
    <w:basedOn w:val="Normal"/>
    <w:uiPriority w:val="1"/>
    <w:qFormat/>
    <w:pPr>
      <w:spacing w:before="43"/>
      <w:ind w:left="658"/>
    </w:pPr>
    <w:rPr>
      <w:rFonts w:ascii="宋体" w:hAnsi="宋体" w:eastAsia="宋体" w:cs="宋体"/>
      <w:b/>
      <w:bCs/>
      <w:i/>
      <w:iCs/>
      <w:lang w:val="en-US" w:eastAsia="zh-CN" w:bidi="ar-SA"/>
    </w:rPr>
  </w:style>
  <w:style w:styleId="BodyText" w:type="paragraph">
    <w:name w:val="Body Text"/>
    <w:basedOn w:val="Normal"/>
    <w:uiPriority w:val="1"/>
    <w:qFormat/>
    <w:pPr>
      <w:ind w:left="238"/>
    </w:pPr>
    <w:rPr>
      <w:rFonts w:ascii="宋体" w:hAnsi="宋体" w:eastAsia="宋体" w:cs="宋体"/>
      <w:sz w:val="21"/>
      <w:szCs w:val="21"/>
      <w:lang w:val="en-US" w:eastAsia="zh-CN" w:bidi="ar-SA"/>
    </w:rPr>
  </w:style>
  <w:style w:styleId="Heading1" w:type="paragraph">
    <w:name w:val="Heading 1"/>
    <w:basedOn w:val="Normal"/>
    <w:uiPriority w:val="1"/>
    <w:qFormat/>
    <w:pPr>
      <w:ind w:left="238"/>
      <w:outlineLvl w:val="1"/>
    </w:pPr>
    <w:rPr>
      <w:rFonts w:ascii="宋体" w:hAnsi="宋体" w:eastAsia="宋体" w:cs="宋体"/>
      <w:b/>
      <w:bCs/>
      <w:sz w:val="30"/>
      <w:szCs w:val="30"/>
      <w:lang w:val="en-US" w:eastAsia="zh-CN" w:bidi="ar-SA"/>
    </w:rPr>
  </w:style>
  <w:style w:styleId="Heading2" w:type="paragraph">
    <w:name w:val="Heading 2"/>
    <w:basedOn w:val="Normal"/>
    <w:uiPriority w:val="1"/>
    <w:qFormat/>
    <w:pPr>
      <w:spacing w:before="154"/>
      <w:ind w:left="1023"/>
      <w:jc w:val="center"/>
      <w:outlineLvl w:val="2"/>
    </w:pPr>
    <w:rPr>
      <w:rFonts w:ascii="宋体" w:hAnsi="宋体" w:eastAsia="宋体" w:cs="宋体"/>
      <w:b/>
      <w:bCs/>
      <w:sz w:val="24"/>
      <w:szCs w:val="24"/>
      <w:lang w:val="en-US" w:eastAsia="zh-CN" w:bidi="ar-SA"/>
    </w:rPr>
  </w:style>
  <w:style w:styleId="Heading3" w:type="paragraph">
    <w:name w:val="Heading 3"/>
    <w:basedOn w:val="Normal"/>
    <w:uiPriority w:val="1"/>
    <w:qFormat/>
    <w:pPr>
      <w:spacing w:line="280" w:lineRule="exact"/>
      <w:ind w:left="238"/>
      <w:outlineLvl w:val="3"/>
    </w:pPr>
    <w:rPr>
      <w:rFonts w:ascii="宋体" w:hAnsi="宋体" w:eastAsia="宋体" w:cs="宋体"/>
      <w:b/>
      <w:bCs/>
      <w:sz w:val="22"/>
      <w:szCs w:val="22"/>
      <w:lang w:val="en-US" w:eastAsia="zh-CN" w:bidi="ar-SA"/>
    </w:rPr>
  </w:style>
  <w:style w:styleId="Heading4" w:type="paragraph">
    <w:name w:val="Heading 4"/>
    <w:basedOn w:val="Normal"/>
    <w:uiPriority w:val="1"/>
    <w:qFormat/>
    <w:pPr>
      <w:spacing w:before="71"/>
      <w:ind w:left="238" w:right="1443" w:firstLine="419"/>
      <w:outlineLvl w:val="4"/>
    </w:pPr>
    <w:rPr>
      <w:rFonts w:ascii="宋体" w:hAnsi="宋体" w:eastAsia="宋体" w:cs="宋体"/>
      <w:i/>
      <w:iCs/>
      <w:sz w:val="22"/>
      <w:szCs w:val="22"/>
      <w:lang w:val="en-US" w:eastAsia="zh-CN" w:bidi="ar-SA"/>
    </w:rPr>
  </w:style>
  <w:style w:styleId="Heading5" w:type="paragraph">
    <w:name w:val="Heading 5"/>
    <w:basedOn w:val="Normal"/>
    <w:uiPriority w:val="1"/>
    <w:qFormat/>
    <w:pPr>
      <w:ind w:left="238"/>
      <w:outlineLvl w:val="5"/>
    </w:pPr>
    <w:rPr>
      <w:rFonts w:ascii="宋体" w:hAnsi="宋体" w:eastAsia="宋体" w:cs="宋体"/>
      <w:b/>
      <w:bCs/>
      <w:sz w:val="21"/>
      <w:szCs w:val="21"/>
      <w:lang w:val="en-US" w:eastAsia="zh-CN" w:bidi="ar-SA"/>
    </w:rPr>
  </w:style>
  <w:style w:styleId="Title" w:type="paragraph">
    <w:name w:val="Title"/>
    <w:basedOn w:val="Normal"/>
    <w:uiPriority w:val="1"/>
    <w:qFormat/>
    <w:pPr>
      <w:ind w:left="378" w:right="180"/>
      <w:jc w:val="center"/>
    </w:pPr>
    <w:rPr>
      <w:rFonts w:ascii="隶书" w:hAnsi="隶书" w:eastAsia="隶书" w:cs="隶书"/>
      <w:b/>
      <w:bCs/>
      <w:sz w:val="52"/>
      <w:szCs w:val="52"/>
      <w:lang w:val="en-US" w:eastAsia="zh-CN" w:bidi="ar-SA"/>
    </w:rPr>
  </w:style>
  <w:style w:styleId="ListParagraph" w:type="paragraph">
    <w:name w:val="List Paragraph"/>
    <w:basedOn w:val="Normal"/>
    <w:uiPriority w:val="1"/>
    <w:qFormat/>
    <w:pPr>
      <w:spacing w:before="43"/>
      <w:ind w:left="767" w:hanging="529"/>
    </w:pPr>
    <w:rPr>
      <w:rFonts w:ascii="宋体" w:hAnsi="宋体" w:eastAsia="宋体" w:cs="宋体"/>
      <w:lang w:val="en-US" w:eastAsia="zh-CN" w:bidi="ar-SA"/>
    </w:rPr>
  </w:style>
  <w:style w:styleId="TableParagraph" w:type="paragraph">
    <w:name w:val="Table Paragraph"/>
    <w:basedOn w:val="Normal"/>
    <w:uiPriority w:val="1"/>
    <w:qFormat/>
    <w:pPr>
      <w:spacing w:before="38"/>
      <w:ind w:left="107"/>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2023-06-02T03:11:27Z</dcterms:created>
  <dcterms:modified xsi:type="dcterms:W3CDTF">2023-06-02T03:11:27Z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