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docProps/core.xml" ContentType="application/vnd.openxmlformats-package.core-properties+xml"/>
  <Override PartName="/word/footer1.xml" ContentType="application/vnd.openxmlformats-officedocument.wordprocessingml.footer+xml"/>
  <Default Extension="png" ContentType="image/png"/>
  <Override PartName="/docProps/custom.xml" ContentType="application/vnd.openxmlformats-officedocument.custom-properties+xml"/>
  <Override PartName="/word/numbering.xml" ContentType="application/vnd.openxmlformats-officedocument.wordprocessingml.numbering+xml"/>
</Types>
</file>

<file path=_rels/.rels><?xml version="1.0" encoding="UTF-8" standalone="yes"?>
<Relationships xmlns="http://schemas.openxmlformats.org/package/2006/relationships"><Relationship Id="rId1" Type="http://schemas.openxmlformats.org/officeDocument/2006/relationships/extended-properties" Target="docProps/app.xml"/><Relationship Id="rId2" Type="http://schemas.openxmlformats.org/package/2006/relationships/metadata/core-properties" Target="docProps/core.xml"/><Relationship Id="rId3"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a="http://schemas.openxmlformats.org/drawingml/2006/main" xmlns:pic="http://schemas.openxmlformats.org/drawingml/2006/picture" xml:space="preserve">
  <w:body>
    <w:p>
      <w:pPr>
        <w:pStyle w:val="BodyText"/>
        <w:spacing w:before="44"/>
        <w:ind w:left="5762"/>
      </w:pPr>
      <w:r>
        <w:rPr>
          <w:spacing w:val="-2"/>
        </w:rPr>
        <w:t>瑞泰人寿</w:t>
      </w:r>
      <w:r>
        <w:rPr>
          <w:rFonts w:ascii="Calibri" w:eastAsia="Calibri"/>
          <w:spacing w:val="-2"/>
        </w:rPr>
        <w:t>[2019]</w:t>
      </w:r>
      <w:r>
        <w:rPr>
          <w:spacing w:val="-12"/>
        </w:rPr>
        <w:t>终身寿险 </w:t>
      </w:r>
      <w:r>
        <w:rPr>
          <w:rFonts w:ascii="Calibri" w:eastAsia="Calibri"/>
          <w:spacing w:val="-2"/>
        </w:rPr>
        <w:t>028</w:t>
      </w:r>
      <w:r>
        <w:rPr>
          <w:rFonts w:ascii="Calibri" w:eastAsia="Calibri"/>
          <w:spacing w:val="11"/>
        </w:rPr>
        <w:t> </w:t>
      </w:r>
      <w:r>
        <w:rPr>
          <w:spacing w:val="-10"/>
        </w:rPr>
        <w:t>号</w:t>
      </w:r>
    </w:p>
    <w:p>
      <w:pPr>
        <w:pStyle w:val="BodyText"/>
        <w:spacing w:before="11"/>
        <w:rPr>
          <w:sz w:val="3"/>
        </w:rPr>
      </w:pPr>
      <w:r>
        <w:rPr/>
        <w:drawing>
          <wp:anchor distT="0" distB="0" distL="0" distR="0" allowOverlap="1" layoutInCell="1" locked="0" behindDoc="0" simplePos="0" relativeHeight="0">
            <wp:simplePos x="0" y="0"/>
            <wp:positionH relativeFrom="page">
              <wp:posOffset>5132704</wp:posOffset>
            </wp:positionH>
            <wp:positionV relativeFrom="paragraph">
              <wp:posOffset>46696</wp:posOffset>
            </wp:positionV>
            <wp:extent cx="723900" cy="723900"/>
            <wp:effectExtent l="0" t="0" r="0" b="0"/>
            <wp:wrapTopAndBottom/>
            <wp:docPr id="1" name="image1.png"/>
            <wp:cNvGraphicFramePr>
              <a:graphicFrameLocks noChangeAspect="1"/>
            </wp:cNvGraphicFramePr>
            <a:graphic>
              <a:graphicData uri="http://schemas.openxmlformats.org/drawingml/2006/picture">
                <pic:pic>
                  <pic:nvPicPr>
                    <pic:cNvPr id="2" name="image1.png"/>
                    <pic:cNvPicPr/>
                  </pic:nvPicPr>
                  <pic:blipFill>
                    <a:blip r:embed="rId6" cstate="print"/>
                    <a:stretch>
                      <a:fillRect/>
                    </a:stretch>
                  </pic:blipFill>
                  <pic:spPr>
                    <a:xfrm>
                      <a:off x="0" y="0"/>
                      <a:ext cx="723900" cy="723900"/>
                    </a:xfrm>
                    <a:prstGeom prst="rect">
                      <a:avLst/>
                    </a:prstGeom>
                  </pic:spPr>
                </pic:pic>
              </a:graphicData>
            </a:graphic>
          </wp:anchor>
        </w:drawing>
      </w:r>
    </w:p>
    <w:p>
      <w:pPr>
        <w:pStyle w:val="BodyText"/>
        <w:spacing w:before="78"/>
        <w:ind w:right="628"/>
        <w:jc w:val="right"/>
      </w:pPr>
      <w:r>
        <w:rPr>
          <w:spacing w:val="-3"/>
        </w:rPr>
        <w:t>请扫描以查询验证条款</w:t>
      </w: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spacing w:before="11"/>
        <w:rPr>
          <w:sz w:val="23"/>
        </w:rPr>
      </w:pPr>
    </w:p>
    <w:p>
      <w:pPr>
        <w:pStyle w:val="Title"/>
        <w:spacing w:line="184" w:lineRule="auto"/>
      </w:pPr>
      <w:r>
        <w:rPr>
          <w:spacing w:val="-2"/>
        </w:rPr>
        <w:t>瑞泰</w:t>
      </w:r>
      <w:r>
        <w:rPr>
          <w:spacing w:val="-2"/>
        </w:rPr>
        <w:t>瑞</w:t>
      </w:r>
      <w:r>
        <w:rPr>
          <w:spacing w:val="-2"/>
        </w:rPr>
        <w:t>鑫</w:t>
      </w:r>
      <w:r>
        <w:rPr>
          <w:spacing w:val="-2"/>
        </w:rPr>
        <w:t>终</w:t>
      </w:r>
      <w:r>
        <w:rPr>
          <w:spacing w:val="-2"/>
        </w:rPr>
        <w:t>身</w:t>
      </w:r>
      <w:r>
        <w:rPr>
          <w:spacing w:val="-2"/>
        </w:rPr>
        <w:t>寿</w:t>
      </w:r>
      <w:r>
        <w:rPr>
          <w:spacing w:val="-2"/>
        </w:rPr>
        <w:t>险</w:t>
      </w:r>
      <w:r>
        <w:rPr>
          <w:spacing w:val="-2"/>
        </w:rPr>
        <w:t>（</w:t>
      </w:r>
      <w:r>
        <w:rPr>
          <w:spacing w:val="-2"/>
        </w:rPr>
        <w:t>万</w:t>
      </w:r>
      <w:r>
        <w:rPr>
          <w:spacing w:val="-2"/>
        </w:rPr>
        <w:t>能</w:t>
      </w:r>
      <w:r>
        <w:rPr>
          <w:spacing w:val="-2"/>
        </w:rPr>
        <w:t>型</w:t>
      </w:r>
      <w:r>
        <w:rPr>
          <w:spacing w:val="-2"/>
        </w:rPr>
        <w:t>）</w:t>
      </w:r>
      <w:r>
        <w:rPr>
          <w:spacing w:val="-4"/>
        </w:rPr>
        <w:t>合</w:t>
      </w:r>
      <w:r>
        <w:rPr>
          <w:spacing w:val="-4"/>
        </w:rPr>
        <w:t>同</w:t>
      </w:r>
      <w:r>
        <w:rPr>
          <w:spacing w:val="-4"/>
        </w:rPr>
        <w:t>条</w:t>
      </w:r>
      <w:r>
        <w:rPr>
          <w:spacing w:val="-4"/>
        </w:rPr>
        <w:t>款</w:t>
      </w:r>
    </w:p>
    <w:p>
      <w:pPr>
        <w:pStyle w:val="BodyText"/>
        <w:rPr>
          <w:rFonts w:ascii="Microsoft JhengHei"/>
          <w:b/>
          <w:sz w:val="44"/>
        </w:rPr>
      </w:pPr>
    </w:p>
    <w:p>
      <w:pPr>
        <w:pStyle w:val="BodyText"/>
        <w:rPr>
          <w:rFonts w:ascii="Microsoft JhengHei"/>
          <w:b/>
          <w:sz w:val="44"/>
        </w:rPr>
      </w:pPr>
    </w:p>
    <w:p>
      <w:pPr>
        <w:pStyle w:val="BodyText"/>
        <w:rPr>
          <w:rFonts w:ascii="Microsoft JhengHei"/>
          <w:b/>
          <w:sz w:val="44"/>
        </w:rPr>
      </w:pPr>
    </w:p>
    <w:p>
      <w:pPr>
        <w:pStyle w:val="BodyText"/>
        <w:rPr>
          <w:rFonts w:ascii="Microsoft JhengHei"/>
          <w:b/>
          <w:sz w:val="44"/>
        </w:rPr>
      </w:pPr>
    </w:p>
    <w:p>
      <w:pPr>
        <w:pStyle w:val="BodyText"/>
        <w:rPr>
          <w:rFonts w:ascii="Microsoft JhengHei"/>
          <w:b/>
          <w:sz w:val="44"/>
        </w:rPr>
      </w:pPr>
    </w:p>
    <w:p>
      <w:pPr>
        <w:pStyle w:val="BodyText"/>
        <w:rPr>
          <w:rFonts w:ascii="Microsoft JhengHei"/>
          <w:b/>
          <w:sz w:val="44"/>
        </w:rPr>
      </w:pPr>
    </w:p>
    <w:p>
      <w:pPr>
        <w:pStyle w:val="BodyText"/>
        <w:spacing w:before="15"/>
        <w:rPr>
          <w:rFonts w:ascii="Microsoft JhengHei"/>
          <w:b/>
          <w:sz w:val="42"/>
        </w:rPr>
      </w:pPr>
    </w:p>
    <w:p>
      <w:pPr>
        <w:pStyle w:val="Heading1"/>
        <w:ind w:left="1601" w:right="1600"/>
      </w:pPr>
      <w:r>
        <w:rPr>
          <w:spacing w:val="-1"/>
        </w:rPr>
        <w:t>瑞泰人寿保险有限公司</w:t>
      </w:r>
    </w:p>
    <w:p>
      <w:pPr>
        <w:spacing w:after="0"/>
        <w:sectPr>
          <w:footerReference w:type="default" r:id="rId5"/>
          <w:type w:val="continuous"/>
          <w:pgSz w:w="11910" w:h="16840"/>
          <w:pgMar w:footer="1005" w:header="0" w:top="1400" w:bottom="1200" w:left="1480" w:right="1480"/>
          <w:pgNumType w:start="1"/>
        </w:sectPr>
      </w:pPr>
    </w:p>
    <w:p>
      <w:pPr>
        <w:spacing w:line="390" w:lineRule="exact" w:before="0"/>
        <w:ind w:left="1602" w:right="1598" w:firstLine="0"/>
        <w:jc w:val="center"/>
        <w:rPr>
          <w:rFonts w:ascii="Microsoft JhengHei" w:eastAsia="Microsoft JhengHei"/>
          <w:b/>
          <w:sz w:val="24"/>
        </w:rPr>
      </w:pPr>
      <w:r>
        <w:rPr>
          <w:rFonts w:ascii="Microsoft JhengHei" w:eastAsia="Microsoft JhengHei"/>
          <w:b/>
          <w:spacing w:val="-5"/>
          <w:sz w:val="24"/>
        </w:rPr>
        <w:t>目录</w:t>
      </w:r>
    </w:p>
    <w:p>
      <w:pPr>
        <w:spacing w:after="0" w:line="390" w:lineRule="exact"/>
        <w:jc w:val="center"/>
        <w:rPr>
          <w:rFonts w:ascii="Microsoft JhengHei" w:eastAsia="Microsoft JhengHei"/>
          <w:sz w:val="24"/>
        </w:rPr>
        <w:sectPr>
          <w:pgSz w:w="11910" w:h="16840"/>
          <w:pgMar w:header="0" w:footer="1005" w:top="1380" w:bottom="1620" w:left="1480" w:right="1480"/>
        </w:sectPr>
      </w:pPr>
    </w:p>
    <w:sdt>
      <w:sdtPr>
        <w:docPartObj>
          <w:docPartGallery w:val="Table of Contents"/>
          <w:docPartUnique/>
        </w:docPartObj>
      </w:sdtPr>
      <w:sdtEndPr/>
      <w:sdtContent>
        <w:p>
          <w:pPr>
            <w:pStyle w:val="TOC1"/>
            <w:tabs>
              <w:tab w:pos="1160" w:val="left" w:leader="none"/>
              <w:tab w:pos="8618" w:val="right" w:leader="dot"/>
            </w:tabs>
            <w:spacing w:line="242" w:lineRule="exact"/>
            <w:rPr>
              <w:rFonts w:ascii="Times New Roman" w:eastAsia="Times New Roman"/>
            </w:rPr>
          </w:pPr>
          <w:hyperlink w:history="true" w:anchor="_bookmark0">
            <w:r>
              <w:rPr/>
              <w:t>一</w:t>
            </w:r>
            <w:r>
              <w:rPr>
                <w:spacing w:val="-10"/>
              </w:rPr>
              <w:t>、</w:t>
            </w:r>
            <w:r>
              <w:rPr/>
              <w:tab/>
            </w:r>
            <w:r>
              <w:rPr>
                <w:spacing w:val="-2"/>
              </w:rPr>
              <w:t>基</w:t>
            </w:r>
            <w:r>
              <w:rPr>
                <w:spacing w:val="-2"/>
              </w:rPr>
              <w:t>本</w:t>
            </w:r>
            <w:r>
              <w:rPr>
                <w:spacing w:val="-2"/>
              </w:rPr>
              <w:t>条</w:t>
            </w:r>
            <w:r>
              <w:rPr>
                <w:spacing w:val="-10"/>
              </w:rPr>
              <w:t>款</w:t>
            </w:r>
            <w:r>
              <w:rPr>
                <w:rFonts w:ascii="Times New Roman" w:eastAsia="Times New Roman"/>
              </w:rPr>
              <w:tab/>
            </w:r>
            <w:r>
              <w:rPr>
                <w:rFonts w:ascii="Times New Roman" w:eastAsia="Times New Roman"/>
                <w:spacing w:val="-10"/>
              </w:rPr>
              <w:t>4</w:t>
            </w:r>
          </w:hyperlink>
        </w:p>
        <w:p>
          <w:pPr>
            <w:pStyle w:val="TOC2"/>
            <w:numPr>
              <w:ilvl w:val="0"/>
              <w:numId w:val="1"/>
            </w:numPr>
            <w:tabs>
              <w:tab w:pos="1172" w:val="left" w:leader="none"/>
              <w:tab w:pos="1173" w:val="left" w:leader="none"/>
              <w:tab w:pos="8618" w:val="right" w:leader="dot"/>
            </w:tabs>
            <w:spacing w:line="336" w:lineRule="exact" w:before="0" w:after="0"/>
            <w:ind w:left="1172" w:right="0" w:hanging="433"/>
            <w:jc w:val="left"/>
            <w:rPr>
              <w:rFonts w:ascii="Calibri" w:hAnsi="Calibri" w:eastAsia="Calibri"/>
            </w:rPr>
          </w:pPr>
          <w:hyperlink w:history="true" w:anchor="_bookmark1">
            <w:r>
              <w:rPr>
                <w:spacing w:val="-2"/>
              </w:rPr>
              <w:t>关</w:t>
            </w:r>
            <w:r>
              <w:rPr>
                <w:spacing w:val="-2"/>
              </w:rPr>
              <w:t>于</w:t>
            </w:r>
            <w:r>
              <w:rPr>
                <w:spacing w:val="-2"/>
              </w:rPr>
              <w:t>瑞</w:t>
            </w:r>
            <w:r>
              <w:rPr>
                <w:spacing w:val="-2"/>
              </w:rPr>
              <w:t>泰</w:t>
            </w:r>
            <w:r>
              <w:rPr>
                <w:spacing w:val="-2"/>
              </w:rPr>
              <w:t>瑞</w:t>
            </w:r>
            <w:r>
              <w:rPr>
                <w:spacing w:val="-2"/>
              </w:rPr>
              <w:t>鑫</w:t>
            </w:r>
            <w:r>
              <w:rPr>
                <w:spacing w:val="-2"/>
              </w:rPr>
              <w:t>终</w:t>
            </w:r>
            <w:r>
              <w:rPr>
                <w:spacing w:val="-2"/>
              </w:rPr>
              <w:t>身</w:t>
            </w:r>
            <w:r>
              <w:rPr>
                <w:spacing w:val="-2"/>
              </w:rPr>
              <w:t>寿险（</w:t>
            </w:r>
            <w:r>
              <w:rPr>
                <w:spacing w:val="-2"/>
              </w:rPr>
              <w:t>万</w:t>
            </w:r>
            <w:r>
              <w:rPr>
                <w:spacing w:val="-2"/>
              </w:rPr>
              <w:t>能</w:t>
            </w:r>
            <w:r>
              <w:rPr>
                <w:spacing w:val="-2"/>
              </w:rPr>
              <w:t>型</w:t>
            </w:r>
            <w:r>
              <w:rPr>
                <w:spacing w:val="-2"/>
              </w:rPr>
              <w:t>）</w:t>
            </w:r>
            <w:r>
              <w:rPr>
                <w:spacing w:val="-2"/>
              </w:rPr>
              <w:t>合</w:t>
            </w:r>
            <w:r>
              <w:rPr>
                <w:spacing w:val="-2"/>
              </w:rPr>
              <w:t>同</w:t>
            </w:r>
            <w:r>
              <w:rPr>
                <w:spacing w:val="-2"/>
              </w:rPr>
              <w:t>（</w:t>
            </w:r>
            <w:r>
              <w:rPr>
                <w:spacing w:val="-2"/>
              </w:rPr>
              <w:t>以</w:t>
            </w:r>
            <w:r>
              <w:rPr>
                <w:spacing w:val="-2"/>
              </w:rPr>
              <w:t>下</w:t>
            </w:r>
            <w:r>
              <w:rPr>
                <w:spacing w:val="-2"/>
              </w:rPr>
              <w:t>简</w:t>
            </w:r>
            <w:r>
              <w:rPr>
                <w:spacing w:val="-2"/>
              </w:rPr>
              <w:t>称</w:t>
            </w:r>
            <w:r>
              <w:rPr>
                <w:rFonts w:ascii="Calibri" w:hAnsi="Calibri" w:eastAsia="Calibri"/>
                <w:spacing w:val="-2"/>
              </w:rPr>
              <w:t>“</w:t>
            </w:r>
            <w:r>
              <w:rPr>
                <w:spacing w:val="-2"/>
              </w:rPr>
              <w:t>本</w:t>
            </w:r>
            <w:r>
              <w:rPr>
                <w:spacing w:val="-2"/>
              </w:rPr>
              <w:t>合</w:t>
            </w:r>
            <w:r>
              <w:rPr>
                <w:spacing w:val="-2"/>
              </w:rPr>
              <w:t>同</w:t>
            </w:r>
            <w:r>
              <w:rPr>
                <w:rFonts w:ascii="Calibri" w:hAnsi="Calibri" w:eastAsia="Calibri"/>
                <w:spacing w:val="-5"/>
              </w:rPr>
              <w:t>”</w:t>
            </w:r>
            <w:r>
              <w:rPr>
                <w:spacing w:val="-5"/>
              </w:rPr>
              <w:t>）</w:t>
            </w:r>
            <w:r>
              <w:rPr>
                <w:rFonts w:ascii="Times New Roman" w:hAnsi="Times New Roman" w:eastAsia="Times New Roman"/>
                <w:b w:val="0"/>
              </w:rPr>
              <w:tab/>
            </w:r>
            <w:r>
              <w:rPr>
                <w:rFonts w:ascii="Times New Roman" w:hAnsi="Times New Roman" w:eastAsia="Times New Roman"/>
                <w:b w:val="0"/>
                <w:spacing w:val="-10"/>
              </w:rPr>
              <w:t>4</w:t>
            </w:r>
          </w:hyperlink>
        </w:p>
        <w:p>
          <w:pPr>
            <w:pStyle w:val="TOC3"/>
            <w:numPr>
              <w:ilvl w:val="0"/>
              <w:numId w:val="1"/>
            </w:numPr>
            <w:tabs>
              <w:tab w:pos="1172" w:val="left" w:leader="none"/>
              <w:tab w:pos="1173" w:val="left" w:leader="none"/>
              <w:tab w:pos="8618" w:val="right" w:leader="dot"/>
            </w:tabs>
            <w:spacing w:line="312" w:lineRule="exact" w:before="0" w:after="0"/>
            <w:ind w:left="1172" w:right="0" w:hanging="433"/>
            <w:jc w:val="left"/>
            <w:rPr>
              <w:rFonts w:ascii="Calibri" w:eastAsia="Calibri"/>
              <w:i w:val="0"/>
              <w:sz w:val="21"/>
            </w:rPr>
          </w:pPr>
          <w:hyperlink w:history="true" w:anchor="_bookmark2">
            <w:r>
              <w:rPr>
                <w:i w:val="0"/>
                <w:sz w:val="21"/>
              </w:rPr>
              <w:t>本合同的构</w:t>
            </w:r>
            <w:r>
              <w:rPr>
                <w:i w:val="0"/>
                <w:spacing w:val="-10"/>
                <w:sz w:val="21"/>
              </w:rPr>
              <w:t>成</w:t>
            </w:r>
            <w:r>
              <w:rPr>
                <w:rFonts w:ascii="Times New Roman" w:eastAsia="Times New Roman"/>
                <w:b w:val="0"/>
                <w:i w:val="0"/>
                <w:sz w:val="21"/>
              </w:rPr>
              <w:tab/>
            </w:r>
            <w:r>
              <w:rPr>
                <w:rFonts w:ascii="Times New Roman" w:eastAsia="Times New Roman"/>
                <w:b w:val="0"/>
                <w:i w:val="0"/>
                <w:spacing w:val="-10"/>
                <w:sz w:val="21"/>
              </w:rPr>
              <w:t>4</w:t>
            </w:r>
          </w:hyperlink>
        </w:p>
        <w:p>
          <w:pPr>
            <w:pStyle w:val="TOC3"/>
            <w:numPr>
              <w:ilvl w:val="0"/>
              <w:numId w:val="1"/>
            </w:numPr>
            <w:tabs>
              <w:tab w:pos="1172" w:val="left" w:leader="none"/>
              <w:tab w:pos="1173" w:val="left" w:leader="none"/>
              <w:tab w:pos="8618" w:val="right" w:leader="dot"/>
            </w:tabs>
            <w:spacing w:line="312" w:lineRule="exact" w:before="0" w:after="0"/>
            <w:ind w:left="1172" w:right="0" w:hanging="433"/>
            <w:jc w:val="left"/>
            <w:rPr>
              <w:rFonts w:ascii="Calibri" w:eastAsia="Calibri"/>
              <w:i w:val="0"/>
              <w:sz w:val="21"/>
            </w:rPr>
          </w:pPr>
          <w:hyperlink w:history="true" w:anchor="_bookmark3">
            <w:r>
              <w:rPr>
                <w:i w:val="0"/>
                <w:sz w:val="21"/>
              </w:rPr>
              <w:t>投保条</w:t>
            </w:r>
            <w:r>
              <w:rPr>
                <w:i w:val="0"/>
                <w:spacing w:val="-10"/>
                <w:sz w:val="21"/>
              </w:rPr>
              <w:t>件</w:t>
            </w:r>
            <w:r>
              <w:rPr>
                <w:rFonts w:ascii="Times New Roman" w:eastAsia="Times New Roman"/>
                <w:b w:val="0"/>
                <w:i w:val="0"/>
                <w:sz w:val="21"/>
              </w:rPr>
              <w:tab/>
            </w:r>
            <w:r>
              <w:rPr>
                <w:rFonts w:ascii="Times New Roman" w:eastAsia="Times New Roman"/>
                <w:b w:val="0"/>
                <w:i w:val="0"/>
                <w:spacing w:val="-10"/>
                <w:sz w:val="21"/>
              </w:rPr>
              <w:t>4</w:t>
            </w:r>
          </w:hyperlink>
        </w:p>
        <w:p>
          <w:pPr>
            <w:pStyle w:val="TOC2"/>
            <w:numPr>
              <w:ilvl w:val="0"/>
              <w:numId w:val="1"/>
            </w:numPr>
            <w:tabs>
              <w:tab w:pos="1172" w:val="left" w:leader="none"/>
              <w:tab w:pos="1173" w:val="left" w:leader="none"/>
              <w:tab w:pos="8618" w:val="right" w:leader="dot"/>
            </w:tabs>
            <w:spacing w:line="312" w:lineRule="exact" w:before="0" w:after="0"/>
            <w:ind w:left="1172" w:right="0" w:hanging="433"/>
            <w:jc w:val="left"/>
            <w:rPr>
              <w:rFonts w:ascii="Calibri" w:eastAsia="Calibri"/>
            </w:rPr>
          </w:pPr>
          <w:hyperlink w:history="true" w:anchor="_bookmark4">
            <w:r>
              <w:rPr/>
              <w:t>本合同的成立与生</w:t>
            </w:r>
            <w:r>
              <w:rPr>
                <w:spacing w:val="-10"/>
              </w:rPr>
              <w:t>效</w:t>
            </w:r>
            <w:r>
              <w:rPr>
                <w:rFonts w:ascii="Times New Roman" w:eastAsia="Times New Roman"/>
                <w:b w:val="0"/>
              </w:rPr>
              <w:tab/>
            </w:r>
            <w:r>
              <w:rPr>
                <w:rFonts w:ascii="Times New Roman" w:eastAsia="Times New Roman"/>
                <w:b w:val="0"/>
                <w:spacing w:val="-10"/>
              </w:rPr>
              <w:t>4</w:t>
            </w:r>
          </w:hyperlink>
        </w:p>
        <w:p>
          <w:pPr>
            <w:pStyle w:val="TOC3"/>
            <w:numPr>
              <w:ilvl w:val="0"/>
              <w:numId w:val="1"/>
            </w:numPr>
            <w:tabs>
              <w:tab w:pos="1172" w:val="left" w:leader="none"/>
              <w:tab w:pos="1173" w:val="left" w:leader="none"/>
              <w:tab w:pos="8618" w:val="right" w:leader="dot"/>
            </w:tabs>
            <w:spacing w:line="312" w:lineRule="exact" w:before="0" w:after="0"/>
            <w:ind w:left="1172" w:right="0" w:hanging="433"/>
            <w:jc w:val="left"/>
            <w:rPr>
              <w:rFonts w:ascii="Calibri" w:eastAsia="Calibri"/>
              <w:i w:val="0"/>
              <w:sz w:val="21"/>
            </w:rPr>
          </w:pPr>
          <w:hyperlink w:history="true" w:anchor="_bookmark5">
            <w:r>
              <w:rPr>
                <w:i w:val="0"/>
                <w:sz w:val="21"/>
              </w:rPr>
              <w:t>保险期</w:t>
            </w:r>
            <w:r>
              <w:rPr>
                <w:i w:val="0"/>
                <w:spacing w:val="-10"/>
                <w:sz w:val="21"/>
              </w:rPr>
              <w:t>间</w:t>
            </w:r>
            <w:r>
              <w:rPr>
                <w:rFonts w:ascii="Times New Roman" w:eastAsia="Times New Roman"/>
                <w:b w:val="0"/>
                <w:i w:val="0"/>
                <w:sz w:val="21"/>
              </w:rPr>
              <w:tab/>
            </w:r>
            <w:r>
              <w:rPr>
                <w:rFonts w:ascii="Times New Roman" w:eastAsia="Times New Roman"/>
                <w:b w:val="0"/>
                <w:i w:val="0"/>
                <w:spacing w:val="-10"/>
                <w:sz w:val="21"/>
              </w:rPr>
              <w:t>4</w:t>
            </w:r>
          </w:hyperlink>
        </w:p>
        <w:p>
          <w:pPr>
            <w:pStyle w:val="TOC3"/>
            <w:numPr>
              <w:ilvl w:val="0"/>
              <w:numId w:val="1"/>
            </w:numPr>
            <w:tabs>
              <w:tab w:pos="1172" w:val="left" w:leader="none"/>
              <w:tab w:pos="1173" w:val="left" w:leader="none"/>
              <w:tab w:pos="8618" w:val="right" w:leader="dot"/>
            </w:tabs>
            <w:spacing w:line="347" w:lineRule="exact" w:before="0" w:after="0"/>
            <w:ind w:left="1172" w:right="0" w:hanging="433"/>
            <w:jc w:val="left"/>
            <w:rPr>
              <w:rFonts w:ascii="Calibri" w:eastAsia="Calibri"/>
              <w:i w:val="0"/>
              <w:sz w:val="21"/>
            </w:rPr>
          </w:pPr>
          <w:hyperlink w:history="true" w:anchor="_bookmark6">
            <w:r>
              <w:rPr>
                <w:i w:val="0"/>
                <w:sz w:val="21"/>
              </w:rPr>
              <w:t>犹豫</w:t>
            </w:r>
            <w:r>
              <w:rPr>
                <w:i w:val="0"/>
                <w:spacing w:val="-10"/>
                <w:sz w:val="21"/>
              </w:rPr>
              <w:t>期</w:t>
            </w:r>
            <w:r>
              <w:rPr>
                <w:rFonts w:ascii="Times New Roman" w:eastAsia="Times New Roman"/>
                <w:b w:val="0"/>
                <w:i w:val="0"/>
                <w:sz w:val="21"/>
              </w:rPr>
              <w:tab/>
            </w:r>
            <w:r>
              <w:rPr>
                <w:rFonts w:ascii="Times New Roman" w:eastAsia="Times New Roman"/>
                <w:b w:val="0"/>
                <w:i w:val="0"/>
                <w:spacing w:val="-10"/>
                <w:sz w:val="21"/>
              </w:rPr>
              <w:t>5</w:t>
            </w:r>
          </w:hyperlink>
        </w:p>
        <w:p>
          <w:pPr>
            <w:pStyle w:val="TOC1"/>
            <w:tabs>
              <w:tab w:pos="1160" w:val="left" w:leader="none"/>
              <w:tab w:pos="8618" w:val="right" w:leader="dot"/>
            </w:tabs>
            <w:rPr>
              <w:rFonts w:ascii="Times New Roman" w:eastAsia="Times New Roman"/>
            </w:rPr>
          </w:pPr>
          <w:hyperlink w:history="true" w:anchor="_bookmark7">
            <w:r>
              <w:rPr/>
              <w:t>二</w:t>
            </w:r>
            <w:r>
              <w:rPr>
                <w:spacing w:val="-10"/>
              </w:rPr>
              <w:t>、</w:t>
            </w:r>
            <w:r>
              <w:rPr/>
              <w:tab/>
            </w:r>
            <w:r>
              <w:rPr>
                <w:spacing w:val="-2"/>
              </w:rPr>
              <w:t>保</w:t>
            </w:r>
            <w:r>
              <w:rPr>
                <w:spacing w:val="-2"/>
              </w:rPr>
              <w:t>险</w:t>
            </w:r>
            <w:r>
              <w:rPr>
                <w:spacing w:val="-2"/>
              </w:rPr>
              <w:t>费</w:t>
            </w:r>
            <w:r>
              <w:rPr>
                <w:spacing w:val="-2"/>
              </w:rPr>
              <w:t>条</w:t>
            </w:r>
            <w:r>
              <w:rPr>
                <w:spacing w:val="-10"/>
              </w:rPr>
              <w:t>款</w:t>
            </w:r>
            <w:r>
              <w:rPr>
                <w:rFonts w:ascii="Times New Roman" w:eastAsia="Times New Roman"/>
              </w:rPr>
              <w:tab/>
            </w:r>
            <w:r>
              <w:rPr>
                <w:rFonts w:ascii="Times New Roman" w:eastAsia="Times New Roman"/>
                <w:spacing w:val="-10"/>
              </w:rPr>
              <w:t>5</w:t>
            </w:r>
          </w:hyperlink>
        </w:p>
        <w:p>
          <w:pPr>
            <w:pStyle w:val="TOC3"/>
            <w:numPr>
              <w:ilvl w:val="0"/>
              <w:numId w:val="1"/>
            </w:numPr>
            <w:tabs>
              <w:tab w:pos="1172" w:val="left" w:leader="none"/>
              <w:tab w:pos="1173" w:val="left" w:leader="none"/>
              <w:tab w:pos="8618" w:val="right" w:leader="dot"/>
            </w:tabs>
            <w:spacing w:line="336" w:lineRule="exact" w:before="0" w:after="0"/>
            <w:ind w:left="1172" w:right="0" w:hanging="433"/>
            <w:jc w:val="left"/>
            <w:rPr>
              <w:rFonts w:ascii="Calibri" w:eastAsia="Calibri"/>
              <w:i w:val="0"/>
              <w:sz w:val="21"/>
            </w:rPr>
          </w:pPr>
          <w:hyperlink w:history="true" w:anchor="_bookmark8">
            <w:r>
              <w:rPr>
                <w:i w:val="0"/>
                <w:sz w:val="21"/>
              </w:rPr>
              <w:t>保险费的交</w:t>
            </w:r>
            <w:r>
              <w:rPr>
                <w:i w:val="0"/>
                <w:spacing w:val="-10"/>
                <w:sz w:val="21"/>
              </w:rPr>
              <w:t>纳</w:t>
            </w:r>
            <w:r>
              <w:rPr>
                <w:rFonts w:ascii="Times New Roman" w:eastAsia="Times New Roman"/>
                <w:b w:val="0"/>
                <w:i w:val="0"/>
                <w:sz w:val="21"/>
              </w:rPr>
              <w:tab/>
            </w:r>
            <w:r>
              <w:rPr>
                <w:rFonts w:ascii="Times New Roman" w:eastAsia="Times New Roman"/>
                <w:b w:val="0"/>
                <w:i w:val="0"/>
                <w:spacing w:val="-10"/>
                <w:sz w:val="21"/>
              </w:rPr>
              <w:t>5</w:t>
            </w:r>
          </w:hyperlink>
        </w:p>
        <w:p>
          <w:pPr>
            <w:pStyle w:val="TOC3"/>
            <w:numPr>
              <w:ilvl w:val="0"/>
              <w:numId w:val="1"/>
            </w:numPr>
            <w:tabs>
              <w:tab w:pos="1172" w:val="left" w:leader="none"/>
              <w:tab w:pos="1173" w:val="left" w:leader="none"/>
              <w:tab w:pos="8618" w:val="right" w:leader="dot"/>
            </w:tabs>
            <w:spacing w:line="347" w:lineRule="exact" w:before="0" w:after="0"/>
            <w:ind w:left="1172" w:right="0" w:hanging="433"/>
            <w:jc w:val="left"/>
            <w:rPr>
              <w:rFonts w:ascii="Calibri" w:eastAsia="Calibri"/>
              <w:i w:val="0"/>
              <w:sz w:val="21"/>
            </w:rPr>
          </w:pPr>
          <w:hyperlink w:history="true" w:anchor="_bookmark9">
            <w:r>
              <w:rPr>
                <w:i w:val="0"/>
                <w:sz w:val="21"/>
              </w:rPr>
              <w:t>宽限</w:t>
            </w:r>
            <w:r>
              <w:rPr>
                <w:i w:val="0"/>
                <w:spacing w:val="-10"/>
                <w:sz w:val="21"/>
              </w:rPr>
              <w:t>期</w:t>
            </w:r>
            <w:r>
              <w:rPr>
                <w:rFonts w:ascii="Times New Roman" w:eastAsia="Times New Roman"/>
                <w:b w:val="0"/>
                <w:i w:val="0"/>
                <w:sz w:val="21"/>
              </w:rPr>
              <w:tab/>
            </w:r>
            <w:r>
              <w:rPr>
                <w:rFonts w:ascii="Times New Roman" w:eastAsia="Times New Roman"/>
                <w:b w:val="0"/>
                <w:i w:val="0"/>
                <w:spacing w:val="-10"/>
                <w:sz w:val="21"/>
              </w:rPr>
              <w:t>5</w:t>
            </w:r>
          </w:hyperlink>
        </w:p>
        <w:p>
          <w:pPr>
            <w:pStyle w:val="TOC1"/>
            <w:tabs>
              <w:tab w:pos="1160" w:val="left" w:leader="none"/>
              <w:tab w:pos="8618" w:val="right" w:leader="dot"/>
            </w:tabs>
            <w:rPr>
              <w:rFonts w:ascii="Times New Roman" w:eastAsia="Times New Roman"/>
            </w:rPr>
          </w:pPr>
          <w:hyperlink w:history="true" w:anchor="_bookmark10">
            <w:r>
              <w:rPr/>
              <w:t>三</w:t>
            </w:r>
            <w:r>
              <w:rPr>
                <w:spacing w:val="-10"/>
              </w:rPr>
              <w:t>、</w:t>
            </w:r>
            <w:r>
              <w:rPr/>
              <w:tab/>
            </w:r>
            <w:r>
              <w:rPr>
                <w:spacing w:val="-2"/>
              </w:rPr>
              <w:t>账</w:t>
            </w:r>
            <w:r>
              <w:rPr>
                <w:spacing w:val="-2"/>
              </w:rPr>
              <w:t>户</w:t>
            </w:r>
            <w:r>
              <w:rPr>
                <w:spacing w:val="-2"/>
              </w:rPr>
              <w:t>条</w:t>
            </w:r>
            <w:r>
              <w:rPr>
                <w:spacing w:val="-10"/>
              </w:rPr>
              <w:t>款</w:t>
            </w:r>
            <w:r>
              <w:rPr>
                <w:rFonts w:ascii="Times New Roman" w:eastAsia="Times New Roman"/>
              </w:rPr>
              <w:tab/>
            </w:r>
            <w:r>
              <w:rPr>
                <w:rFonts w:ascii="Times New Roman" w:eastAsia="Times New Roman"/>
                <w:spacing w:val="-10"/>
              </w:rPr>
              <w:t>6</w:t>
            </w:r>
          </w:hyperlink>
        </w:p>
        <w:p>
          <w:pPr>
            <w:pStyle w:val="TOC3"/>
            <w:numPr>
              <w:ilvl w:val="0"/>
              <w:numId w:val="1"/>
            </w:numPr>
            <w:tabs>
              <w:tab w:pos="1172" w:val="left" w:leader="none"/>
              <w:tab w:pos="1173" w:val="left" w:leader="none"/>
              <w:tab w:pos="8618" w:val="right" w:leader="dot"/>
            </w:tabs>
            <w:spacing w:line="336" w:lineRule="exact" w:before="0" w:after="0"/>
            <w:ind w:left="1172" w:right="0" w:hanging="433"/>
            <w:jc w:val="left"/>
            <w:rPr>
              <w:rFonts w:ascii="Calibri" w:eastAsia="Calibri"/>
              <w:i w:val="0"/>
              <w:sz w:val="21"/>
            </w:rPr>
          </w:pPr>
          <w:hyperlink w:history="true" w:anchor="_bookmark11">
            <w:r>
              <w:rPr>
                <w:i w:val="0"/>
                <w:sz w:val="21"/>
              </w:rPr>
              <w:t>个人账</w:t>
            </w:r>
            <w:r>
              <w:rPr>
                <w:i w:val="0"/>
                <w:spacing w:val="-10"/>
                <w:sz w:val="21"/>
              </w:rPr>
              <w:t>户</w:t>
            </w:r>
            <w:r>
              <w:rPr>
                <w:rFonts w:ascii="Times New Roman" w:eastAsia="Times New Roman"/>
                <w:b w:val="0"/>
                <w:i w:val="0"/>
                <w:sz w:val="21"/>
              </w:rPr>
              <w:tab/>
            </w:r>
            <w:r>
              <w:rPr>
                <w:rFonts w:ascii="Times New Roman" w:eastAsia="Times New Roman"/>
                <w:b w:val="0"/>
                <w:i w:val="0"/>
                <w:spacing w:val="-10"/>
                <w:sz w:val="21"/>
              </w:rPr>
              <w:t>6</w:t>
            </w:r>
          </w:hyperlink>
        </w:p>
        <w:p>
          <w:pPr>
            <w:pStyle w:val="TOC3"/>
            <w:numPr>
              <w:ilvl w:val="0"/>
              <w:numId w:val="1"/>
            </w:numPr>
            <w:tabs>
              <w:tab w:pos="1173" w:val="left" w:leader="none"/>
              <w:tab w:pos="8618" w:val="right" w:leader="dot"/>
            </w:tabs>
            <w:spacing w:line="312" w:lineRule="exact" w:before="0" w:after="0"/>
            <w:ind w:left="1172" w:right="0" w:hanging="433"/>
            <w:jc w:val="left"/>
            <w:rPr>
              <w:rFonts w:ascii="Calibri" w:eastAsia="Calibri"/>
              <w:i w:val="0"/>
              <w:sz w:val="21"/>
            </w:rPr>
          </w:pPr>
          <w:hyperlink w:history="true" w:anchor="_bookmark12">
            <w:r>
              <w:rPr>
                <w:i w:val="0"/>
                <w:sz w:val="21"/>
              </w:rPr>
              <w:t>初始费</w:t>
            </w:r>
            <w:r>
              <w:rPr>
                <w:i w:val="0"/>
                <w:spacing w:val="-10"/>
                <w:sz w:val="21"/>
              </w:rPr>
              <w:t>用</w:t>
            </w:r>
            <w:r>
              <w:rPr>
                <w:rFonts w:ascii="Times New Roman" w:eastAsia="Times New Roman"/>
                <w:b w:val="0"/>
                <w:i w:val="0"/>
                <w:sz w:val="21"/>
              </w:rPr>
              <w:tab/>
            </w:r>
            <w:r>
              <w:rPr>
                <w:rFonts w:ascii="Times New Roman" w:eastAsia="Times New Roman"/>
                <w:b w:val="0"/>
                <w:i w:val="0"/>
                <w:spacing w:val="-10"/>
                <w:sz w:val="21"/>
              </w:rPr>
              <w:t>6</w:t>
            </w:r>
          </w:hyperlink>
        </w:p>
        <w:p>
          <w:pPr>
            <w:pStyle w:val="TOC3"/>
            <w:numPr>
              <w:ilvl w:val="0"/>
              <w:numId w:val="1"/>
            </w:numPr>
            <w:tabs>
              <w:tab w:pos="1173" w:val="left" w:leader="none"/>
              <w:tab w:pos="8618" w:val="right" w:leader="dot"/>
            </w:tabs>
            <w:spacing w:line="312" w:lineRule="exact" w:before="0" w:after="0"/>
            <w:ind w:left="1172" w:right="0" w:hanging="433"/>
            <w:jc w:val="left"/>
            <w:rPr>
              <w:rFonts w:ascii="Calibri" w:eastAsia="Calibri"/>
              <w:i w:val="0"/>
              <w:sz w:val="21"/>
            </w:rPr>
          </w:pPr>
          <w:hyperlink w:history="true" w:anchor="_bookmark13">
            <w:r>
              <w:rPr>
                <w:i w:val="0"/>
                <w:sz w:val="21"/>
              </w:rPr>
              <w:t>保单管理</w:t>
            </w:r>
            <w:r>
              <w:rPr>
                <w:i w:val="0"/>
                <w:spacing w:val="-10"/>
                <w:sz w:val="21"/>
              </w:rPr>
              <w:t>费</w:t>
            </w:r>
            <w:r>
              <w:rPr>
                <w:rFonts w:ascii="Times New Roman" w:eastAsia="Times New Roman"/>
                <w:b w:val="0"/>
                <w:i w:val="0"/>
                <w:sz w:val="21"/>
              </w:rPr>
              <w:tab/>
            </w:r>
            <w:r>
              <w:rPr>
                <w:rFonts w:ascii="Times New Roman" w:eastAsia="Times New Roman"/>
                <w:b w:val="0"/>
                <w:i w:val="0"/>
                <w:spacing w:val="-10"/>
                <w:sz w:val="21"/>
              </w:rPr>
              <w:t>6</w:t>
            </w:r>
          </w:hyperlink>
        </w:p>
        <w:p>
          <w:pPr>
            <w:pStyle w:val="TOC2"/>
            <w:numPr>
              <w:ilvl w:val="0"/>
              <w:numId w:val="1"/>
            </w:numPr>
            <w:tabs>
              <w:tab w:pos="1173" w:val="left" w:leader="none"/>
              <w:tab w:pos="8618" w:val="right" w:leader="dot"/>
            </w:tabs>
            <w:spacing w:line="312" w:lineRule="exact" w:before="0" w:after="0"/>
            <w:ind w:left="1172" w:right="0" w:hanging="433"/>
            <w:jc w:val="left"/>
            <w:rPr>
              <w:rFonts w:ascii="Calibri" w:eastAsia="Calibri"/>
            </w:rPr>
          </w:pPr>
          <w:hyperlink w:history="true" w:anchor="_bookmark14">
            <w:r>
              <w:rPr/>
              <w:t>风险保险费的收</w:t>
            </w:r>
            <w:r>
              <w:rPr>
                <w:spacing w:val="-10"/>
              </w:rPr>
              <w:t>取</w:t>
            </w:r>
            <w:r>
              <w:rPr>
                <w:rFonts w:ascii="Times New Roman" w:eastAsia="Times New Roman"/>
                <w:b w:val="0"/>
              </w:rPr>
              <w:tab/>
            </w:r>
            <w:r>
              <w:rPr>
                <w:rFonts w:ascii="Times New Roman" w:eastAsia="Times New Roman"/>
                <w:b w:val="0"/>
                <w:spacing w:val="-10"/>
              </w:rPr>
              <w:t>6</w:t>
            </w:r>
          </w:hyperlink>
        </w:p>
        <w:p>
          <w:pPr>
            <w:pStyle w:val="TOC2"/>
            <w:numPr>
              <w:ilvl w:val="0"/>
              <w:numId w:val="1"/>
            </w:numPr>
            <w:tabs>
              <w:tab w:pos="1173" w:val="left" w:leader="none"/>
              <w:tab w:pos="8618" w:val="right" w:leader="dot"/>
            </w:tabs>
            <w:spacing w:line="312" w:lineRule="exact" w:before="0" w:after="0"/>
            <w:ind w:left="1172" w:right="0" w:hanging="433"/>
            <w:jc w:val="left"/>
            <w:rPr>
              <w:rFonts w:ascii="Calibri" w:eastAsia="Calibri"/>
            </w:rPr>
          </w:pPr>
          <w:hyperlink w:history="true" w:anchor="_bookmark15">
            <w:r>
              <w:rPr>
                <w:spacing w:val="-2"/>
              </w:rPr>
              <w:t>结</w:t>
            </w:r>
            <w:r>
              <w:rPr>
                <w:spacing w:val="-2"/>
              </w:rPr>
              <w:t>算</w:t>
            </w:r>
            <w:r>
              <w:rPr>
                <w:spacing w:val="-2"/>
              </w:rPr>
              <w:t>利</w:t>
            </w:r>
            <w:r>
              <w:rPr>
                <w:spacing w:val="-2"/>
              </w:rPr>
              <w:t>率</w:t>
            </w:r>
            <w:r>
              <w:rPr>
                <w:spacing w:val="-2"/>
              </w:rPr>
              <w:t>与</w:t>
            </w:r>
            <w:r>
              <w:rPr>
                <w:spacing w:val="-2"/>
              </w:rPr>
              <w:t>最</w:t>
            </w:r>
            <w:r>
              <w:rPr>
                <w:spacing w:val="-2"/>
              </w:rPr>
              <w:t>低</w:t>
            </w:r>
            <w:r>
              <w:rPr>
                <w:spacing w:val="-2"/>
              </w:rPr>
              <w:t>保</w:t>
            </w:r>
            <w:r>
              <w:rPr>
                <w:spacing w:val="-2"/>
              </w:rPr>
              <w:t>证结算</w:t>
            </w:r>
            <w:r>
              <w:rPr>
                <w:spacing w:val="-2"/>
              </w:rPr>
              <w:t>利</w:t>
            </w:r>
            <w:r>
              <w:rPr>
                <w:spacing w:val="-10"/>
              </w:rPr>
              <w:t>率</w:t>
            </w:r>
            <w:r>
              <w:rPr>
                <w:rFonts w:ascii="Times New Roman" w:eastAsia="Times New Roman"/>
                <w:b w:val="0"/>
              </w:rPr>
              <w:tab/>
            </w:r>
            <w:r>
              <w:rPr>
                <w:rFonts w:ascii="Times New Roman" w:eastAsia="Times New Roman"/>
                <w:b w:val="0"/>
                <w:spacing w:val="-10"/>
              </w:rPr>
              <w:t>6</w:t>
            </w:r>
          </w:hyperlink>
        </w:p>
        <w:p>
          <w:pPr>
            <w:pStyle w:val="TOC3"/>
            <w:numPr>
              <w:ilvl w:val="0"/>
              <w:numId w:val="1"/>
            </w:numPr>
            <w:tabs>
              <w:tab w:pos="1173" w:val="left" w:leader="none"/>
              <w:tab w:pos="8618" w:val="right" w:leader="dot"/>
            </w:tabs>
            <w:spacing w:line="312" w:lineRule="exact" w:before="0" w:after="0"/>
            <w:ind w:left="1172" w:right="0" w:hanging="433"/>
            <w:jc w:val="left"/>
            <w:rPr>
              <w:rFonts w:ascii="Calibri" w:eastAsia="Calibri"/>
              <w:i w:val="0"/>
              <w:sz w:val="21"/>
            </w:rPr>
          </w:pPr>
          <w:hyperlink w:history="true" w:anchor="_bookmark16">
            <w:r>
              <w:rPr>
                <w:i w:val="0"/>
                <w:sz w:val="21"/>
              </w:rPr>
              <w:t>账户结</w:t>
            </w:r>
            <w:r>
              <w:rPr>
                <w:i w:val="0"/>
                <w:spacing w:val="-10"/>
                <w:sz w:val="21"/>
              </w:rPr>
              <w:t>算</w:t>
            </w:r>
            <w:r>
              <w:rPr>
                <w:rFonts w:ascii="Times New Roman" w:eastAsia="Times New Roman"/>
                <w:b w:val="0"/>
                <w:i w:val="0"/>
                <w:sz w:val="21"/>
              </w:rPr>
              <w:tab/>
            </w:r>
            <w:r>
              <w:rPr>
                <w:rFonts w:ascii="Times New Roman" w:eastAsia="Times New Roman"/>
                <w:b w:val="0"/>
                <w:i w:val="0"/>
                <w:spacing w:val="-10"/>
                <w:sz w:val="21"/>
              </w:rPr>
              <w:t>7</w:t>
            </w:r>
          </w:hyperlink>
        </w:p>
        <w:p>
          <w:pPr>
            <w:pStyle w:val="TOC3"/>
            <w:numPr>
              <w:ilvl w:val="0"/>
              <w:numId w:val="1"/>
            </w:numPr>
            <w:tabs>
              <w:tab w:pos="1173" w:val="left" w:leader="none"/>
              <w:tab w:pos="8618" w:val="right" w:leader="dot"/>
            </w:tabs>
            <w:spacing w:line="312" w:lineRule="exact" w:before="0" w:after="0"/>
            <w:ind w:left="1172" w:right="0" w:hanging="433"/>
            <w:jc w:val="left"/>
            <w:rPr>
              <w:rFonts w:ascii="Calibri" w:eastAsia="Calibri"/>
              <w:i w:val="0"/>
              <w:sz w:val="21"/>
            </w:rPr>
          </w:pPr>
          <w:hyperlink w:history="true" w:anchor="_bookmark17">
            <w:r>
              <w:rPr>
                <w:i w:val="0"/>
                <w:sz w:val="21"/>
              </w:rPr>
              <w:t>持续奖</w:t>
            </w:r>
            <w:r>
              <w:rPr>
                <w:i w:val="0"/>
                <w:spacing w:val="-10"/>
                <w:sz w:val="21"/>
              </w:rPr>
              <w:t>金</w:t>
            </w:r>
            <w:r>
              <w:rPr>
                <w:rFonts w:ascii="Times New Roman" w:eastAsia="Times New Roman"/>
                <w:b w:val="0"/>
                <w:i w:val="0"/>
                <w:sz w:val="21"/>
              </w:rPr>
              <w:tab/>
            </w:r>
            <w:r>
              <w:rPr>
                <w:rFonts w:ascii="Times New Roman" w:eastAsia="Times New Roman"/>
                <w:b w:val="0"/>
                <w:i w:val="0"/>
                <w:spacing w:val="-10"/>
                <w:sz w:val="21"/>
              </w:rPr>
              <w:t>7</w:t>
            </w:r>
          </w:hyperlink>
        </w:p>
        <w:p>
          <w:pPr>
            <w:pStyle w:val="TOC2"/>
            <w:numPr>
              <w:ilvl w:val="0"/>
              <w:numId w:val="1"/>
            </w:numPr>
            <w:tabs>
              <w:tab w:pos="1173" w:val="left" w:leader="none"/>
              <w:tab w:pos="8618" w:val="right" w:leader="dot"/>
            </w:tabs>
            <w:spacing w:line="312" w:lineRule="exact" w:before="0" w:after="0"/>
            <w:ind w:left="1172" w:right="0" w:hanging="433"/>
            <w:jc w:val="left"/>
            <w:rPr>
              <w:rFonts w:ascii="Calibri" w:eastAsia="Calibri"/>
            </w:rPr>
          </w:pPr>
          <w:hyperlink w:history="true" w:anchor="_bookmark18">
            <w:r>
              <w:rPr>
                <w:spacing w:val="-2"/>
              </w:rPr>
              <w:t>部</w:t>
            </w:r>
            <w:r>
              <w:rPr>
                <w:spacing w:val="-2"/>
              </w:rPr>
              <w:t>分</w:t>
            </w:r>
            <w:r>
              <w:rPr>
                <w:spacing w:val="-2"/>
              </w:rPr>
              <w:t>领</w:t>
            </w:r>
            <w:r>
              <w:rPr>
                <w:spacing w:val="-2"/>
              </w:rPr>
              <w:t>取</w:t>
            </w:r>
            <w:r>
              <w:rPr>
                <w:spacing w:val="-2"/>
              </w:rPr>
              <w:t>账</w:t>
            </w:r>
            <w:r>
              <w:rPr>
                <w:spacing w:val="-2"/>
              </w:rPr>
              <w:t>户</w:t>
            </w:r>
            <w:r>
              <w:rPr>
                <w:spacing w:val="-2"/>
              </w:rPr>
              <w:t>价</w:t>
            </w:r>
            <w:r>
              <w:rPr>
                <w:spacing w:val="-2"/>
              </w:rPr>
              <w:t>值</w:t>
            </w:r>
            <w:r>
              <w:rPr>
                <w:spacing w:val="-2"/>
              </w:rPr>
              <w:t>及手续</w:t>
            </w:r>
            <w:r>
              <w:rPr>
                <w:spacing w:val="-10"/>
              </w:rPr>
              <w:t>费</w:t>
            </w:r>
            <w:r>
              <w:rPr>
                <w:rFonts w:ascii="Times New Roman" w:eastAsia="Times New Roman"/>
                <w:b w:val="0"/>
              </w:rPr>
              <w:tab/>
            </w:r>
            <w:r>
              <w:rPr>
                <w:rFonts w:ascii="Times New Roman" w:eastAsia="Times New Roman"/>
                <w:b w:val="0"/>
                <w:spacing w:val="-10"/>
              </w:rPr>
              <w:t>7</w:t>
            </w:r>
          </w:hyperlink>
        </w:p>
        <w:p>
          <w:pPr>
            <w:pStyle w:val="TOC3"/>
            <w:numPr>
              <w:ilvl w:val="0"/>
              <w:numId w:val="1"/>
            </w:numPr>
            <w:tabs>
              <w:tab w:pos="1173" w:val="left" w:leader="none"/>
              <w:tab w:pos="8618" w:val="right" w:leader="dot"/>
            </w:tabs>
            <w:spacing w:line="312" w:lineRule="exact" w:before="0" w:after="0"/>
            <w:ind w:left="1172" w:right="0" w:hanging="433"/>
            <w:jc w:val="left"/>
            <w:rPr>
              <w:rFonts w:ascii="Calibri" w:eastAsia="Calibri"/>
              <w:i w:val="0"/>
              <w:sz w:val="21"/>
            </w:rPr>
          </w:pPr>
          <w:hyperlink w:history="true" w:anchor="_bookmark19">
            <w:r>
              <w:rPr>
                <w:i w:val="0"/>
                <w:sz w:val="21"/>
              </w:rPr>
              <w:t>退保及退保费</w:t>
            </w:r>
            <w:r>
              <w:rPr>
                <w:i w:val="0"/>
                <w:spacing w:val="-10"/>
                <w:sz w:val="21"/>
              </w:rPr>
              <w:t>用</w:t>
            </w:r>
            <w:r>
              <w:rPr>
                <w:rFonts w:ascii="Times New Roman" w:eastAsia="Times New Roman"/>
                <w:b w:val="0"/>
                <w:i w:val="0"/>
                <w:sz w:val="21"/>
              </w:rPr>
              <w:tab/>
            </w:r>
            <w:r>
              <w:rPr>
                <w:rFonts w:ascii="Times New Roman" w:eastAsia="Times New Roman"/>
                <w:b w:val="0"/>
                <w:i w:val="0"/>
                <w:spacing w:val="-10"/>
                <w:sz w:val="21"/>
              </w:rPr>
              <w:t>8</w:t>
            </w:r>
          </w:hyperlink>
        </w:p>
        <w:p>
          <w:pPr>
            <w:pStyle w:val="TOC3"/>
            <w:numPr>
              <w:ilvl w:val="0"/>
              <w:numId w:val="1"/>
            </w:numPr>
            <w:tabs>
              <w:tab w:pos="1173" w:val="left" w:leader="none"/>
              <w:tab w:pos="8618" w:val="right" w:leader="dot"/>
            </w:tabs>
            <w:spacing w:line="312" w:lineRule="exact" w:before="0" w:after="0"/>
            <w:ind w:left="1172" w:right="0" w:hanging="433"/>
            <w:jc w:val="left"/>
            <w:rPr>
              <w:rFonts w:ascii="Calibri" w:eastAsia="Calibri"/>
              <w:i w:val="0"/>
              <w:sz w:val="21"/>
            </w:rPr>
          </w:pPr>
          <w:hyperlink w:history="true" w:anchor="_bookmark20">
            <w:r>
              <w:rPr>
                <w:i w:val="0"/>
                <w:sz w:val="21"/>
              </w:rPr>
              <w:t>款项返</w:t>
            </w:r>
            <w:r>
              <w:rPr>
                <w:i w:val="0"/>
                <w:spacing w:val="-10"/>
                <w:sz w:val="21"/>
              </w:rPr>
              <w:t>还</w:t>
            </w:r>
            <w:r>
              <w:rPr>
                <w:rFonts w:ascii="Times New Roman" w:eastAsia="Times New Roman"/>
                <w:b w:val="0"/>
                <w:i w:val="0"/>
                <w:sz w:val="21"/>
              </w:rPr>
              <w:tab/>
            </w:r>
            <w:r>
              <w:rPr>
                <w:rFonts w:ascii="Times New Roman" w:eastAsia="Times New Roman"/>
                <w:b w:val="0"/>
                <w:i w:val="0"/>
                <w:spacing w:val="-10"/>
                <w:sz w:val="21"/>
              </w:rPr>
              <w:t>8</w:t>
            </w:r>
          </w:hyperlink>
        </w:p>
        <w:p>
          <w:pPr>
            <w:pStyle w:val="TOC3"/>
            <w:numPr>
              <w:ilvl w:val="0"/>
              <w:numId w:val="1"/>
            </w:numPr>
            <w:tabs>
              <w:tab w:pos="1173" w:val="left" w:leader="none"/>
              <w:tab w:pos="8618" w:val="right" w:leader="dot"/>
            </w:tabs>
            <w:spacing w:line="347" w:lineRule="exact" w:before="0" w:after="0"/>
            <w:ind w:left="1172" w:right="0" w:hanging="433"/>
            <w:jc w:val="left"/>
            <w:rPr>
              <w:rFonts w:ascii="Calibri" w:eastAsia="Calibri"/>
              <w:i w:val="0"/>
              <w:sz w:val="21"/>
            </w:rPr>
          </w:pPr>
          <w:hyperlink w:history="true" w:anchor="_bookmark21">
            <w:r>
              <w:rPr>
                <w:i w:val="0"/>
                <w:sz w:val="21"/>
              </w:rPr>
              <w:t>账户价</w:t>
            </w:r>
            <w:r>
              <w:rPr>
                <w:i w:val="0"/>
                <w:spacing w:val="-10"/>
                <w:sz w:val="21"/>
              </w:rPr>
              <w:t>值</w:t>
            </w:r>
            <w:r>
              <w:rPr>
                <w:rFonts w:ascii="Times New Roman" w:eastAsia="Times New Roman"/>
                <w:b w:val="0"/>
                <w:i w:val="0"/>
                <w:sz w:val="21"/>
              </w:rPr>
              <w:tab/>
            </w:r>
            <w:r>
              <w:rPr>
                <w:rFonts w:ascii="Times New Roman" w:eastAsia="Times New Roman"/>
                <w:b w:val="0"/>
                <w:i w:val="0"/>
                <w:spacing w:val="-10"/>
                <w:sz w:val="21"/>
              </w:rPr>
              <w:t>9</w:t>
            </w:r>
          </w:hyperlink>
        </w:p>
        <w:p>
          <w:pPr>
            <w:pStyle w:val="TOC1"/>
            <w:tabs>
              <w:tab w:pos="1160" w:val="left" w:leader="none"/>
              <w:tab w:pos="8618" w:val="right" w:leader="dot"/>
            </w:tabs>
            <w:rPr>
              <w:rFonts w:ascii="Times New Roman" w:eastAsia="Times New Roman"/>
            </w:rPr>
          </w:pPr>
          <w:hyperlink w:history="true" w:anchor="_bookmark22">
            <w:r>
              <w:rPr/>
              <w:t>四</w:t>
            </w:r>
            <w:r>
              <w:rPr>
                <w:spacing w:val="-10"/>
              </w:rPr>
              <w:t>、</w:t>
            </w:r>
            <w:r>
              <w:rPr/>
              <w:tab/>
            </w:r>
            <w:r>
              <w:rPr>
                <w:spacing w:val="-2"/>
              </w:rPr>
              <w:t>保</w:t>
            </w:r>
            <w:r>
              <w:rPr>
                <w:spacing w:val="-2"/>
              </w:rPr>
              <w:t>障</w:t>
            </w:r>
            <w:r>
              <w:rPr>
                <w:spacing w:val="-2"/>
              </w:rPr>
              <w:t>条</w:t>
            </w:r>
            <w:r>
              <w:rPr>
                <w:spacing w:val="-10"/>
              </w:rPr>
              <w:t>款</w:t>
            </w:r>
            <w:r>
              <w:rPr>
                <w:rFonts w:ascii="Times New Roman" w:eastAsia="Times New Roman"/>
              </w:rPr>
              <w:tab/>
            </w:r>
            <w:r>
              <w:rPr>
                <w:rFonts w:ascii="Times New Roman" w:eastAsia="Times New Roman"/>
                <w:spacing w:val="-10"/>
              </w:rPr>
              <w:t>9</w:t>
            </w:r>
          </w:hyperlink>
        </w:p>
        <w:p>
          <w:pPr>
            <w:pStyle w:val="TOC3"/>
            <w:numPr>
              <w:ilvl w:val="0"/>
              <w:numId w:val="1"/>
            </w:numPr>
            <w:tabs>
              <w:tab w:pos="1173" w:val="left" w:leader="none"/>
              <w:tab w:pos="8618" w:val="right" w:leader="dot"/>
            </w:tabs>
            <w:spacing w:line="336" w:lineRule="exact" w:before="0" w:after="0"/>
            <w:ind w:left="1172" w:right="0" w:hanging="433"/>
            <w:jc w:val="left"/>
            <w:rPr>
              <w:rFonts w:ascii="Calibri" w:eastAsia="Calibri"/>
              <w:i w:val="0"/>
              <w:sz w:val="21"/>
            </w:rPr>
          </w:pPr>
          <w:hyperlink w:history="true" w:anchor="_bookmark23">
            <w:r>
              <w:rPr>
                <w:i w:val="0"/>
                <w:sz w:val="21"/>
              </w:rPr>
              <w:t>保险金</w:t>
            </w:r>
            <w:r>
              <w:rPr>
                <w:i w:val="0"/>
                <w:spacing w:val="-10"/>
                <w:sz w:val="21"/>
              </w:rPr>
              <w:t>额</w:t>
            </w:r>
            <w:r>
              <w:rPr>
                <w:rFonts w:ascii="Times New Roman" w:eastAsia="Times New Roman"/>
                <w:b w:val="0"/>
                <w:i w:val="0"/>
                <w:sz w:val="21"/>
              </w:rPr>
              <w:tab/>
            </w:r>
            <w:r>
              <w:rPr>
                <w:rFonts w:ascii="Times New Roman" w:eastAsia="Times New Roman"/>
                <w:b w:val="0"/>
                <w:i w:val="0"/>
                <w:spacing w:val="-10"/>
                <w:sz w:val="21"/>
              </w:rPr>
              <w:t>9</w:t>
            </w:r>
          </w:hyperlink>
        </w:p>
        <w:p>
          <w:pPr>
            <w:pStyle w:val="TOC3"/>
            <w:numPr>
              <w:ilvl w:val="0"/>
              <w:numId w:val="1"/>
            </w:numPr>
            <w:tabs>
              <w:tab w:pos="1173" w:val="left" w:leader="none"/>
              <w:tab w:pos="8618" w:val="right" w:leader="dot"/>
            </w:tabs>
            <w:spacing w:line="347" w:lineRule="exact" w:before="0" w:after="0"/>
            <w:ind w:left="1172" w:right="0" w:hanging="433"/>
            <w:jc w:val="left"/>
            <w:rPr>
              <w:rFonts w:ascii="Calibri" w:eastAsia="Calibri"/>
              <w:i w:val="0"/>
              <w:sz w:val="21"/>
            </w:rPr>
          </w:pPr>
          <w:hyperlink w:history="true" w:anchor="_bookmark24">
            <w:r>
              <w:rPr>
                <w:i w:val="0"/>
                <w:sz w:val="21"/>
              </w:rPr>
              <w:t>保险责</w:t>
            </w:r>
            <w:r>
              <w:rPr>
                <w:i w:val="0"/>
                <w:spacing w:val="-10"/>
                <w:sz w:val="21"/>
              </w:rPr>
              <w:t>任</w:t>
            </w:r>
            <w:r>
              <w:rPr>
                <w:rFonts w:ascii="Times New Roman" w:eastAsia="Times New Roman"/>
                <w:b w:val="0"/>
                <w:i w:val="0"/>
                <w:sz w:val="21"/>
              </w:rPr>
              <w:tab/>
            </w:r>
            <w:r>
              <w:rPr>
                <w:rFonts w:ascii="Times New Roman" w:eastAsia="Times New Roman"/>
                <w:b w:val="0"/>
                <w:i w:val="0"/>
                <w:spacing w:val="-10"/>
                <w:sz w:val="21"/>
              </w:rPr>
              <w:t>9</w:t>
            </w:r>
          </w:hyperlink>
        </w:p>
        <w:p>
          <w:pPr>
            <w:pStyle w:val="TOC3"/>
            <w:numPr>
              <w:ilvl w:val="0"/>
              <w:numId w:val="1"/>
            </w:numPr>
            <w:tabs>
              <w:tab w:pos="1173" w:val="left" w:leader="none"/>
              <w:tab w:pos="8618" w:val="right" w:leader="dot"/>
            </w:tabs>
            <w:spacing w:line="253" w:lineRule="exact" w:before="0" w:after="0"/>
            <w:ind w:left="1172" w:right="0" w:hanging="433"/>
            <w:jc w:val="left"/>
            <w:rPr>
              <w:rFonts w:ascii="黑体" w:eastAsia="黑体" w:hint="eastAsia"/>
              <w:i w:val="0"/>
              <w:sz w:val="21"/>
            </w:rPr>
          </w:pPr>
          <w:hyperlink w:history="true" w:anchor="_bookmark25">
            <w:r>
              <w:rPr>
                <w:rFonts w:ascii="黑体" w:eastAsia="黑体" w:hint="eastAsia"/>
                <w:i w:val="0"/>
                <w:sz w:val="21"/>
              </w:rPr>
              <w:t>责任免</w:t>
            </w:r>
            <w:r>
              <w:rPr>
                <w:rFonts w:ascii="黑体" w:eastAsia="黑体" w:hint="eastAsia"/>
                <w:i w:val="0"/>
                <w:spacing w:val="-10"/>
                <w:sz w:val="21"/>
              </w:rPr>
              <w:t>除</w:t>
            </w:r>
            <w:r>
              <w:rPr>
                <w:rFonts w:ascii="Times New Roman" w:eastAsia="Times New Roman"/>
                <w:b w:val="0"/>
                <w:i w:val="0"/>
                <w:sz w:val="21"/>
              </w:rPr>
              <w:tab/>
            </w:r>
            <w:r>
              <w:rPr>
                <w:rFonts w:ascii="Times New Roman" w:eastAsia="Times New Roman"/>
                <w:b w:val="0"/>
                <w:i w:val="0"/>
                <w:spacing w:val="-5"/>
                <w:sz w:val="21"/>
              </w:rPr>
              <w:t>10</w:t>
            </w:r>
          </w:hyperlink>
        </w:p>
        <w:p>
          <w:pPr>
            <w:pStyle w:val="TOC3"/>
            <w:numPr>
              <w:ilvl w:val="0"/>
              <w:numId w:val="1"/>
            </w:numPr>
            <w:tabs>
              <w:tab w:pos="1173" w:val="left" w:leader="none"/>
              <w:tab w:pos="8618" w:val="right" w:leader="dot"/>
            </w:tabs>
            <w:spacing w:line="336" w:lineRule="exact" w:before="0" w:after="0"/>
            <w:ind w:left="1172" w:right="0" w:hanging="433"/>
            <w:jc w:val="left"/>
            <w:rPr>
              <w:rFonts w:ascii="Calibri" w:eastAsia="Calibri"/>
              <w:i w:val="0"/>
              <w:sz w:val="21"/>
            </w:rPr>
          </w:pPr>
          <w:hyperlink w:history="true" w:anchor="_bookmark26">
            <w:r>
              <w:rPr>
                <w:i w:val="0"/>
                <w:sz w:val="21"/>
              </w:rPr>
              <w:t>受益</w:t>
            </w:r>
            <w:r>
              <w:rPr>
                <w:i w:val="0"/>
                <w:spacing w:val="-10"/>
                <w:sz w:val="21"/>
              </w:rPr>
              <w:t>人</w:t>
            </w:r>
            <w:r>
              <w:rPr>
                <w:rFonts w:ascii="Times New Roman" w:eastAsia="Times New Roman"/>
                <w:b w:val="0"/>
                <w:i w:val="0"/>
                <w:sz w:val="21"/>
              </w:rPr>
              <w:tab/>
            </w:r>
            <w:r>
              <w:rPr>
                <w:rFonts w:ascii="Times New Roman" w:eastAsia="Times New Roman"/>
                <w:b w:val="0"/>
                <w:i w:val="0"/>
                <w:spacing w:val="-5"/>
                <w:sz w:val="21"/>
              </w:rPr>
              <w:t>10</w:t>
            </w:r>
          </w:hyperlink>
        </w:p>
        <w:p>
          <w:pPr>
            <w:pStyle w:val="TOC3"/>
            <w:numPr>
              <w:ilvl w:val="0"/>
              <w:numId w:val="1"/>
            </w:numPr>
            <w:tabs>
              <w:tab w:pos="1173" w:val="left" w:leader="none"/>
              <w:tab w:pos="8613" w:val="right" w:leader="dot"/>
            </w:tabs>
            <w:spacing w:line="312" w:lineRule="exact" w:before="0" w:after="0"/>
            <w:ind w:left="1172" w:right="0" w:hanging="433"/>
            <w:jc w:val="left"/>
            <w:rPr>
              <w:rFonts w:ascii="Calibri" w:eastAsia="Calibri"/>
              <w:i w:val="0"/>
              <w:sz w:val="21"/>
            </w:rPr>
          </w:pPr>
          <w:hyperlink w:history="true" w:anchor="_bookmark27">
            <w:r>
              <w:rPr>
                <w:i w:val="0"/>
                <w:sz w:val="21"/>
              </w:rPr>
              <w:t>保险事故的通</w:t>
            </w:r>
            <w:r>
              <w:rPr>
                <w:i w:val="0"/>
                <w:spacing w:val="-10"/>
                <w:sz w:val="21"/>
              </w:rPr>
              <w:t>知</w:t>
            </w:r>
            <w:r>
              <w:rPr>
                <w:rFonts w:ascii="Times New Roman" w:eastAsia="Times New Roman"/>
                <w:b w:val="0"/>
                <w:i w:val="0"/>
                <w:sz w:val="21"/>
              </w:rPr>
              <w:tab/>
            </w:r>
            <w:r>
              <w:rPr>
                <w:rFonts w:ascii="Times New Roman" w:eastAsia="Times New Roman"/>
                <w:b w:val="0"/>
                <w:i w:val="0"/>
                <w:spacing w:val="-5"/>
                <w:sz w:val="21"/>
              </w:rPr>
              <w:t>11</w:t>
            </w:r>
          </w:hyperlink>
        </w:p>
        <w:p>
          <w:pPr>
            <w:pStyle w:val="TOC3"/>
            <w:numPr>
              <w:ilvl w:val="0"/>
              <w:numId w:val="1"/>
            </w:numPr>
            <w:tabs>
              <w:tab w:pos="1173" w:val="left" w:leader="none"/>
              <w:tab w:pos="8613" w:val="right" w:leader="dot"/>
            </w:tabs>
            <w:spacing w:line="312" w:lineRule="exact" w:before="0" w:after="0"/>
            <w:ind w:left="1172" w:right="0" w:hanging="433"/>
            <w:jc w:val="left"/>
            <w:rPr>
              <w:rFonts w:ascii="Calibri" w:eastAsia="Calibri"/>
              <w:i w:val="0"/>
              <w:sz w:val="21"/>
            </w:rPr>
          </w:pPr>
          <w:hyperlink w:history="true" w:anchor="_bookmark28">
            <w:r>
              <w:rPr>
                <w:i w:val="0"/>
                <w:sz w:val="21"/>
              </w:rPr>
              <w:t>保险金的申</w:t>
            </w:r>
            <w:r>
              <w:rPr>
                <w:i w:val="0"/>
                <w:spacing w:val="-10"/>
                <w:sz w:val="21"/>
              </w:rPr>
              <w:t>请</w:t>
            </w:r>
            <w:r>
              <w:rPr>
                <w:rFonts w:ascii="Times New Roman" w:eastAsia="Times New Roman"/>
                <w:b w:val="0"/>
                <w:i w:val="0"/>
                <w:sz w:val="21"/>
              </w:rPr>
              <w:tab/>
            </w:r>
            <w:r>
              <w:rPr>
                <w:rFonts w:ascii="Times New Roman" w:eastAsia="Times New Roman"/>
                <w:b w:val="0"/>
                <w:i w:val="0"/>
                <w:spacing w:val="-5"/>
                <w:sz w:val="21"/>
              </w:rPr>
              <w:t>11</w:t>
            </w:r>
          </w:hyperlink>
        </w:p>
        <w:p>
          <w:pPr>
            <w:pStyle w:val="TOC3"/>
            <w:numPr>
              <w:ilvl w:val="0"/>
              <w:numId w:val="1"/>
            </w:numPr>
            <w:tabs>
              <w:tab w:pos="1173" w:val="left" w:leader="none"/>
              <w:tab w:pos="8613" w:val="right" w:leader="dot"/>
            </w:tabs>
            <w:spacing w:line="312" w:lineRule="exact" w:before="0" w:after="0"/>
            <w:ind w:left="1172" w:right="0" w:hanging="433"/>
            <w:jc w:val="left"/>
            <w:rPr>
              <w:rFonts w:ascii="Calibri" w:eastAsia="Calibri"/>
              <w:i w:val="0"/>
              <w:sz w:val="21"/>
            </w:rPr>
          </w:pPr>
          <w:hyperlink w:history="true" w:anchor="_bookmark29">
            <w:r>
              <w:rPr>
                <w:i w:val="0"/>
                <w:sz w:val="21"/>
              </w:rPr>
              <w:t>保险金给</w:t>
            </w:r>
            <w:r>
              <w:rPr>
                <w:i w:val="0"/>
                <w:spacing w:val="-10"/>
                <w:sz w:val="21"/>
              </w:rPr>
              <w:t>付</w:t>
            </w:r>
            <w:r>
              <w:rPr>
                <w:rFonts w:ascii="Times New Roman" w:eastAsia="Times New Roman"/>
                <w:b w:val="0"/>
                <w:i w:val="0"/>
                <w:sz w:val="21"/>
              </w:rPr>
              <w:tab/>
            </w:r>
            <w:r>
              <w:rPr>
                <w:rFonts w:ascii="Times New Roman" w:eastAsia="Times New Roman"/>
                <w:b w:val="0"/>
                <w:i w:val="0"/>
                <w:spacing w:val="-5"/>
                <w:sz w:val="21"/>
              </w:rPr>
              <w:t>11</w:t>
            </w:r>
          </w:hyperlink>
        </w:p>
        <w:p>
          <w:pPr>
            <w:pStyle w:val="TOC3"/>
            <w:numPr>
              <w:ilvl w:val="0"/>
              <w:numId w:val="1"/>
            </w:numPr>
            <w:tabs>
              <w:tab w:pos="1173" w:val="left" w:leader="none"/>
              <w:tab w:pos="8618" w:val="right" w:leader="dot"/>
            </w:tabs>
            <w:spacing w:line="312" w:lineRule="exact" w:before="0" w:after="0"/>
            <w:ind w:left="1172" w:right="0" w:hanging="433"/>
            <w:jc w:val="left"/>
            <w:rPr>
              <w:rFonts w:ascii="Calibri" w:eastAsia="Calibri"/>
              <w:i w:val="0"/>
              <w:sz w:val="21"/>
            </w:rPr>
          </w:pPr>
          <w:hyperlink w:history="true" w:anchor="_bookmark30">
            <w:r>
              <w:rPr>
                <w:i w:val="0"/>
                <w:sz w:val="21"/>
              </w:rPr>
              <w:t>保单贷</w:t>
            </w:r>
            <w:r>
              <w:rPr>
                <w:i w:val="0"/>
                <w:spacing w:val="-10"/>
                <w:sz w:val="21"/>
              </w:rPr>
              <w:t>款</w:t>
            </w:r>
            <w:r>
              <w:rPr>
                <w:rFonts w:ascii="Times New Roman" w:eastAsia="Times New Roman"/>
                <w:b w:val="0"/>
                <w:i w:val="0"/>
                <w:sz w:val="21"/>
              </w:rPr>
              <w:tab/>
            </w:r>
            <w:r>
              <w:rPr>
                <w:rFonts w:ascii="Times New Roman" w:eastAsia="Times New Roman"/>
                <w:b w:val="0"/>
                <w:i w:val="0"/>
                <w:spacing w:val="-5"/>
                <w:sz w:val="21"/>
              </w:rPr>
              <w:t>12</w:t>
            </w:r>
          </w:hyperlink>
        </w:p>
        <w:p>
          <w:pPr>
            <w:pStyle w:val="TOC3"/>
            <w:numPr>
              <w:ilvl w:val="0"/>
              <w:numId w:val="1"/>
            </w:numPr>
            <w:tabs>
              <w:tab w:pos="1173" w:val="left" w:leader="none"/>
              <w:tab w:pos="8618" w:val="right" w:leader="dot"/>
            </w:tabs>
            <w:spacing w:line="312" w:lineRule="exact" w:before="0" w:after="0"/>
            <w:ind w:left="1172" w:right="0" w:hanging="433"/>
            <w:jc w:val="left"/>
            <w:rPr>
              <w:rFonts w:ascii="Calibri" w:eastAsia="Calibri"/>
              <w:i w:val="0"/>
              <w:sz w:val="21"/>
            </w:rPr>
          </w:pPr>
          <w:hyperlink w:history="true" w:anchor="_bookmark31">
            <w:r>
              <w:rPr>
                <w:i w:val="0"/>
                <w:sz w:val="21"/>
              </w:rPr>
              <w:t>欠款的扣</w:t>
            </w:r>
            <w:r>
              <w:rPr>
                <w:i w:val="0"/>
                <w:spacing w:val="-10"/>
                <w:sz w:val="21"/>
              </w:rPr>
              <w:t>除</w:t>
            </w:r>
            <w:r>
              <w:rPr>
                <w:rFonts w:ascii="Times New Roman" w:eastAsia="Times New Roman"/>
                <w:b w:val="0"/>
                <w:i w:val="0"/>
                <w:sz w:val="21"/>
              </w:rPr>
              <w:tab/>
            </w:r>
            <w:r>
              <w:rPr>
                <w:rFonts w:ascii="Times New Roman" w:eastAsia="Times New Roman"/>
                <w:b w:val="0"/>
                <w:i w:val="0"/>
                <w:spacing w:val="-5"/>
                <w:sz w:val="21"/>
              </w:rPr>
              <w:t>12</w:t>
            </w:r>
          </w:hyperlink>
        </w:p>
        <w:p>
          <w:pPr>
            <w:pStyle w:val="TOC3"/>
            <w:numPr>
              <w:ilvl w:val="0"/>
              <w:numId w:val="1"/>
            </w:numPr>
            <w:tabs>
              <w:tab w:pos="1173" w:val="left" w:leader="none"/>
              <w:tab w:pos="8618" w:val="right" w:leader="dot"/>
            </w:tabs>
            <w:spacing w:line="347" w:lineRule="exact" w:before="0" w:after="0"/>
            <w:ind w:left="1172" w:right="0" w:hanging="433"/>
            <w:jc w:val="left"/>
            <w:rPr>
              <w:rFonts w:ascii="Calibri" w:eastAsia="Calibri"/>
              <w:i w:val="0"/>
              <w:sz w:val="21"/>
            </w:rPr>
          </w:pPr>
          <w:hyperlink w:history="true" w:anchor="_bookmark32">
            <w:r>
              <w:rPr>
                <w:i w:val="0"/>
                <w:sz w:val="21"/>
              </w:rPr>
              <w:t>宣告死</w:t>
            </w:r>
            <w:r>
              <w:rPr>
                <w:i w:val="0"/>
                <w:spacing w:val="-10"/>
                <w:sz w:val="21"/>
              </w:rPr>
              <w:t>亡</w:t>
            </w:r>
            <w:r>
              <w:rPr>
                <w:rFonts w:ascii="Times New Roman" w:eastAsia="Times New Roman"/>
                <w:b w:val="0"/>
                <w:i w:val="0"/>
                <w:sz w:val="21"/>
              </w:rPr>
              <w:tab/>
            </w:r>
            <w:r>
              <w:rPr>
                <w:rFonts w:ascii="Times New Roman" w:eastAsia="Times New Roman"/>
                <w:b w:val="0"/>
                <w:i w:val="0"/>
                <w:spacing w:val="-5"/>
                <w:sz w:val="21"/>
              </w:rPr>
              <w:t>12</w:t>
            </w:r>
          </w:hyperlink>
        </w:p>
        <w:p>
          <w:pPr>
            <w:pStyle w:val="TOC1"/>
            <w:tabs>
              <w:tab w:pos="1160" w:val="left" w:leader="none"/>
              <w:tab w:pos="8618" w:val="right" w:leader="dot"/>
            </w:tabs>
            <w:rPr>
              <w:rFonts w:ascii="Times New Roman" w:eastAsia="Times New Roman"/>
            </w:rPr>
          </w:pPr>
          <w:hyperlink w:history="true" w:anchor="_bookmark33">
            <w:r>
              <w:rPr/>
              <w:t>五</w:t>
            </w:r>
            <w:r>
              <w:rPr>
                <w:spacing w:val="-10"/>
              </w:rPr>
              <w:t>、</w:t>
            </w:r>
            <w:r>
              <w:rPr/>
              <w:tab/>
              <w:t>其</w:t>
            </w:r>
            <w:r>
              <w:rPr>
                <w:spacing w:val="-10"/>
              </w:rPr>
              <w:t>他</w:t>
            </w:r>
            <w:r>
              <w:rPr>
                <w:rFonts w:ascii="Times New Roman" w:eastAsia="Times New Roman"/>
              </w:rPr>
              <w:tab/>
            </w:r>
            <w:r>
              <w:rPr>
                <w:rFonts w:ascii="Times New Roman" w:eastAsia="Times New Roman"/>
                <w:spacing w:val="-5"/>
              </w:rPr>
              <w:t>12</w:t>
            </w:r>
          </w:hyperlink>
        </w:p>
        <w:p>
          <w:pPr>
            <w:pStyle w:val="TOC3"/>
            <w:numPr>
              <w:ilvl w:val="0"/>
              <w:numId w:val="1"/>
            </w:numPr>
            <w:tabs>
              <w:tab w:pos="1173" w:val="left" w:leader="none"/>
              <w:tab w:pos="8618" w:val="right" w:leader="dot"/>
            </w:tabs>
            <w:spacing w:line="336" w:lineRule="exact" w:before="0" w:after="0"/>
            <w:ind w:left="1172" w:right="0" w:hanging="433"/>
            <w:jc w:val="left"/>
            <w:rPr>
              <w:rFonts w:ascii="Calibri" w:eastAsia="Calibri"/>
              <w:i w:val="0"/>
              <w:sz w:val="21"/>
            </w:rPr>
          </w:pPr>
          <w:hyperlink w:history="true" w:anchor="_bookmark34">
            <w:r>
              <w:rPr>
                <w:i w:val="0"/>
                <w:sz w:val="21"/>
              </w:rPr>
              <w:t>明确说明与如实告</w:t>
            </w:r>
            <w:r>
              <w:rPr>
                <w:i w:val="0"/>
                <w:spacing w:val="-10"/>
                <w:sz w:val="21"/>
              </w:rPr>
              <w:t>知</w:t>
            </w:r>
            <w:r>
              <w:rPr>
                <w:rFonts w:ascii="Times New Roman" w:eastAsia="Times New Roman"/>
                <w:b w:val="0"/>
                <w:i w:val="0"/>
                <w:sz w:val="21"/>
              </w:rPr>
              <w:tab/>
            </w:r>
            <w:r>
              <w:rPr>
                <w:rFonts w:ascii="Times New Roman" w:eastAsia="Times New Roman"/>
                <w:b w:val="0"/>
                <w:i w:val="0"/>
                <w:spacing w:val="-5"/>
                <w:sz w:val="21"/>
              </w:rPr>
              <w:t>12</w:t>
            </w:r>
          </w:hyperlink>
        </w:p>
        <w:p>
          <w:pPr>
            <w:pStyle w:val="TOC2"/>
            <w:numPr>
              <w:ilvl w:val="0"/>
              <w:numId w:val="1"/>
            </w:numPr>
            <w:tabs>
              <w:tab w:pos="1173" w:val="left" w:leader="none"/>
              <w:tab w:pos="8618" w:val="right" w:leader="dot"/>
            </w:tabs>
            <w:spacing w:line="312" w:lineRule="exact" w:before="0" w:after="0"/>
            <w:ind w:left="1172" w:right="0" w:hanging="433"/>
            <w:jc w:val="left"/>
            <w:rPr>
              <w:rFonts w:ascii="Calibri" w:eastAsia="Calibri"/>
            </w:rPr>
          </w:pPr>
          <w:hyperlink w:history="true" w:anchor="_bookmark35">
            <w:r>
              <w:rPr>
                <w:spacing w:val="-2"/>
              </w:rPr>
              <w:t>我</w:t>
            </w:r>
            <w:r>
              <w:rPr>
                <w:spacing w:val="-2"/>
              </w:rPr>
              <w:t>们</w:t>
            </w:r>
            <w:r>
              <w:rPr>
                <w:spacing w:val="-2"/>
              </w:rPr>
              <w:t>行</w:t>
            </w:r>
            <w:r>
              <w:rPr>
                <w:spacing w:val="-2"/>
              </w:rPr>
              <w:t>使</w:t>
            </w:r>
            <w:r>
              <w:rPr>
                <w:spacing w:val="-2"/>
              </w:rPr>
              <w:t>合</w:t>
            </w:r>
            <w:r>
              <w:rPr>
                <w:spacing w:val="-2"/>
              </w:rPr>
              <w:t>同</w:t>
            </w:r>
            <w:r>
              <w:rPr>
                <w:spacing w:val="-2"/>
              </w:rPr>
              <w:t>解</w:t>
            </w:r>
            <w:r>
              <w:rPr>
                <w:spacing w:val="-2"/>
              </w:rPr>
              <w:t>除</w:t>
            </w:r>
            <w:r>
              <w:rPr>
                <w:spacing w:val="-2"/>
              </w:rPr>
              <w:t>权的限</w:t>
            </w:r>
            <w:r>
              <w:rPr>
                <w:spacing w:val="-10"/>
              </w:rPr>
              <w:t>制</w:t>
            </w:r>
            <w:r>
              <w:rPr>
                <w:rFonts w:ascii="Times New Roman" w:eastAsia="Times New Roman"/>
                <w:b w:val="0"/>
              </w:rPr>
              <w:tab/>
            </w:r>
            <w:r>
              <w:rPr>
                <w:rFonts w:ascii="Times New Roman" w:eastAsia="Times New Roman"/>
                <w:b w:val="0"/>
                <w:spacing w:val="-5"/>
              </w:rPr>
              <w:t>13</w:t>
            </w:r>
          </w:hyperlink>
        </w:p>
        <w:p>
          <w:pPr>
            <w:pStyle w:val="TOC3"/>
            <w:numPr>
              <w:ilvl w:val="0"/>
              <w:numId w:val="1"/>
            </w:numPr>
            <w:tabs>
              <w:tab w:pos="1173" w:val="left" w:leader="none"/>
              <w:tab w:pos="8618" w:val="right" w:leader="dot"/>
            </w:tabs>
            <w:spacing w:line="312" w:lineRule="exact" w:before="0" w:after="0"/>
            <w:ind w:left="1172" w:right="0" w:hanging="433"/>
            <w:jc w:val="left"/>
            <w:rPr>
              <w:rFonts w:ascii="Calibri" w:eastAsia="Calibri"/>
              <w:i w:val="0"/>
              <w:sz w:val="21"/>
            </w:rPr>
          </w:pPr>
          <w:hyperlink w:history="true" w:anchor="_bookmark36">
            <w:r>
              <w:rPr>
                <w:i w:val="0"/>
                <w:sz w:val="21"/>
              </w:rPr>
              <w:t>年龄性别错误处</w:t>
            </w:r>
            <w:r>
              <w:rPr>
                <w:i w:val="0"/>
                <w:spacing w:val="-10"/>
                <w:sz w:val="21"/>
              </w:rPr>
              <w:t>理</w:t>
            </w:r>
            <w:r>
              <w:rPr>
                <w:rFonts w:ascii="Times New Roman" w:eastAsia="Times New Roman"/>
                <w:b w:val="0"/>
                <w:i w:val="0"/>
                <w:sz w:val="21"/>
              </w:rPr>
              <w:tab/>
            </w:r>
            <w:r>
              <w:rPr>
                <w:rFonts w:ascii="Times New Roman" w:eastAsia="Times New Roman"/>
                <w:b w:val="0"/>
                <w:i w:val="0"/>
                <w:spacing w:val="-5"/>
                <w:sz w:val="21"/>
              </w:rPr>
              <w:t>13</w:t>
            </w:r>
          </w:hyperlink>
        </w:p>
        <w:p>
          <w:pPr>
            <w:pStyle w:val="TOC3"/>
            <w:numPr>
              <w:ilvl w:val="0"/>
              <w:numId w:val="1"/>
            </w:numPr>
            <w:tabs>
              <w:tab w:pos="1173" w:val="left" w:leader="none"/>
              <w:tab w:pos="8618" w:val="right" w:leader="dot"/>
            </w:tabs>
            <w:spacing w:line="312" w:lineRule="exact" w:before="0" w:after="0"/>
            <w:ind w:left="1172" w:right="0" w:hanging="433"/>
            <w:jc w:val="left"/>
            <w:rPr>
              <w:rFonts w:ascii="Calibri" w:eastAsia="Calibri"/>
              <w:i w:val="0"/>
              <w:sz w:val="21"/>
            </w:rPr>
          </w:pPr>
          <w:hyperlink w:history="true" w:anchor="_bookmark37">
            <w:r>
              <w:rPr>
                <w:i w:val="0"/>
                <w:sz w:val="21"/>
              </w:rPr>
              <w:t>联系方式变</w:t>
            </w:r>
            <w:r>
              <w:rPr>
                <w:i w:val="0"/>
                <w:spacing w:val="-10"/>
                <w:sz w:val="21"/>
              </w:rPr>
              <w:t>更</w:t>
            </w:r>
            <w:r>
              <w:rPr>
                <w:rFonts w:ascii="Times New Roman" w:eastAsia="Times New Roman"/>
                <w:b w:val="0"/>
                <w:i w:val="0"/>
                <w:sz w:val="21"/>
              </w:rPr>
              <w:tab/>
            </w:r>
            <w:r>
              <w:rPr>
                <w:rFonts w:ascii="Times New Roman" w:eastAsia="Times New Roman"/>
                <w:b w:val="0"/>
                <w:i w:val="0"/>
                <w:spacing w:val="-5"/>
                <w:sz w:val="21"/>
              </w:rPr>
              <w:t>14</w:t>
            </w:r>
          </w:hyperlink>
        </w:p>
        <w:p>
          <w:pPr>
            <w:pStyle w:val="TOC3"/>
            <w:numPr>
              <w:ilvl w:val="0"/>
              <w:numId w:val="1"/>
            </w:numPr>
            <w:tabs>
              <w:tab w:pos="1173" w:val="left" w:leader="none"/>
              <w:tab w:pos="8618" w:val="right" w:leader="dot"/>
            </w:tabs>
            <w:spacing w:line="312" w:lineRule="exact" w:before="0" w:after="0"/>
            <w:ind w:left="1172" w:right="0" w:hanging="433"/>
            <w:jc w:val="left"/>
            <w:rPr>
              <w:rFonts w:ascii="Calibri" w:eastAsia="Calibri"/>
              <w:i w:val="0"/>
              <w:sz w:val="21"/>
            </w:rPr>
          </w:pPr>
          <w:hyperlink w:history="true" w:anchor="_bookmark38">
            <w:r>
              <w:rPr>
                <w:i w:val="0"/>
                <w:sz w:val="21"/>
              </w:rPr>
              <w:t>本合同内容变</w:t>
            </w:r>
            <w:r>
              <w:rPr>
                <w:i w:val="0"/>
                <w:spacing w:val="-10"/>
                <w:sz w:val="21"/>
              </w:rPr>
              <w:t>更</w:t>
            </w:r>
            <w:r>
              <w:rPr>
                <w:rFonts w:ascii="Times New Roman" w:eastAsia="Times New Roman"/>
                <w:b w:val="0"/>
                <w:i w:val="0"/>
                <w:sz w:val="21"/>
              </w:rPr>
              <w:tab/>
            </w:r>
            <w:r>
              <w:rPr>
                <w:rFonts w:ascii="Times New Roman" w:eastAsia="Times New Roman"/>
                <w:b w:val="0"/>
                <w:i w:val="0"/>
                <w:spacing w:val="-5"/>
                <w:sz w:val="21"/>
              </w:rPr>
              <w:t>14</w:t>
            </w:r>
          </w:hyperlink>
        </w:p>
        <w:p>
          <w:pPr>
            <w:pStyle w:val="TOC3"/>
            <w:numPr>
              <w:ilvl w:val="0"/>
              <w:numId w:val="1"/>
            </w:numPr>
            <w:tabs>
              <w:tab w:pos="1173" w:val="left" w:leader="none"/>
              <w:tab w:pos="8618" w:val="right" w:leader="dot"/>
            </w:tabs>
            <w:spacing w:line="312" w:lineRule="exact" w:before="0" w:after="0"/>
            <w:ind w:left="1172" w:right="0" w:hanging="433"/>
            <w:jc w:val="left"/>
            <w:rPr>
              <w:rFonts w:ascii="Calibri" w:eastAsia="Calibri"/>
              <w:i w:val="0"/>
              <w:sz w:val="21"/>
            </w:rPr>
          </w:pPr>
          <w:hyperlink w:history="true" w:anchor="_bookmark39">
            <w:r>
              <w:rPr>
                <w:i w:val="0"/>
                <w:spacing w:val="-2"/>
                <w:sz w:val="21"/>
              </w:rPr>
              <w:t>本</w:t>
            </w:r>
            <w:r>
              <w:rPr>
                <w:i w:val="0"/>
                <w:spacing w:val="-2"/>
                <w:sz w:val="21"/>
              </w:rPr>
              <w:t>合</w:t>
            </w:r>
            <w:r>
              <w:rPr>
                <w:i w:val="0"/>
                <w:spacing w:val="-2"/>
                <w:sz w:val="21"/>
              </w:rPr>
              <w:t>同</w:t>
            </w:r>
            <w:r>
              <w:rPr>
                <w:i w:val="0"/>
                <w:spacing w:val="-2"/>
                <w:sz w:val="21"/>
              </w:rPr>
              <w:t>效</w:t>
            </w:r>
            <w:r>
              <w:rPr>
                <w:i w:val="0"/>
                <w:spacing w:val="-2"/>
                <w:sz w:val="21"/>
              </w:rPr>
              <w:t>力</w:t>
            </w:r>
            <w:r>
              <w:rPr>
                <w:i w:val="0"/>
                <w:spacing w:val="-2"/>
                <w:sz w:val="21"/>
              </w:rPr>
              <w:t>的</w:t>
            </w:r>
            <w:r>
              <w:rPr>
                <w:i w:val="0"/>
                <w:spacing w:val="-2"/>
                <w:sz w:val="21"/>
              </w:rPr>
              <w:t>中</w:t>
            </w:r>
            <w:r>
              <w:rPr>
                <w:i w:val="0"/>
                <w:spacing w:val="-2"/>
                <w:sz w:val="21"/>
              </w:rPr>
              <w:t>止</w:t>
            </w:r>
            <w:r>
              <w:rPr>
                <w:i w:val="0"/>
                <w:spacing w:val="-2"/>
                <w:sz w:val="21"/>
              </w:rPr>
              <w:t>及</w:t>
            </w:r>
            <w:r>
              <w:rPr>
                <w:i w:val="0"/>
                <w:spacing w:val="-2"/>
                <w:sz w:val="21"/>
              </w:rPr>
              <w:t>恢</w:t>
            </w:r>
            <w:r>
              <w:rPr>
                <w:i w:val="0"/>
                <w:spacing w:val="-10"/>
                <w:sz w:val="21"/>
              </w:rPr>
              <w:t>复</w:t>
            </w:r>
            <w:r>
              <w:rPr>
                <w:rFonts w:ascii="Times New Roman" w:eastAsia="Times New Roman"/>
                <w:b w:val="0"/>
                <w:i w:val="0"/>
                <w:sz w:val="21"/>
              </w:rPr>
              <w:tab/>
            </w:r>
            <w:r>
              <w:rPr>
                <w:rFonts w:ascii="Times New Roman" w:eastAsia="Times New Roman"/>
                <w:b w:val="0"/>
                <w:i w:val="0"/>
                <w:spacing w:val="-5"/>
                <w:sz w:val="21"/>
              </w:rPr>
              <w:t>14</w:t>
            </w:r>
          </w:hyperlink>
        </w:p>
        <w:p>
          <w:pPr>
            <w:pStyle w:val="TOC3"/>
            <w:numPr>
              <w:ilvl w:val="0"/>
              <w:numId w:val="1"/>
            </w:numPr>
            <w:tabs>
              <w:tab w:pos="1173" w:val="left" w:leader="none"/>
              <w:tab w:pos="8618" w:val="right" w:leader="dot"/>
            </w:tabs>
            <w:spacing w:line="312" w:lineRule="exact" w:before="0" w:after="0"/>
            <w:ind w:left="1172" w:right="0" w:hanging="433"/>
            <w:jc w:val="left"/>
            <w:rPr>
              <w:rFonts w:ascii="Calibri" w:eastAsia="Calibri"/>
              <w:i w:val="0"/>
              <w:sz w:val="21"/>
            </w:rPr>
          </w:pPr>
          <w:hyperlink w:history="true" w:anchor="_bookmark40">
            <w:r>
              <w:rPr>
                <w:i w:val="0"/>
                <w:sz w:val="21"/>
              </w:rPr>
              <w:t>本合同的终</w:t>
            </w:r>
            <w:r>
              <w:rPr>
                <w:i w:val="0"/>
                <w:spacing w:val="-10"/>
                <w:sz w:val="21"/>
              </w:rPr>
              <w:t>止</w:t>
            </w:r>
            <w:r>
              <w:rPr>
                <w:rFonts w:ascii="Times New Roman" w:eastAsia="Times New Roman"/>
                <w:b w:val="0"/>
                <w:i w:val="0"/>
                <w:sz w:val="21"/>
              </w:rPr>
              <w:tab/>
            </w:r>
            <w:r>
              <w:rPr>
                <w:rFonts w:ascii="Times New Roman" w:eastAsia="Times New Roman"/>
                <w:b w:val="0"/>
                <w:i w:val="0"/>
                <w:spacing w:val="-5"/>
                <w:sz w:val="21"/>
              </w:rPr>
              <w:t>15</w:t>
            </w:r>
          </w:hyperlink>
        </w:p>
        <w:p>
          <w:pPr>
            <w:pStyle w:val="TOC3"/>
            <w:numPr>
              <w:ilvl w:val="0"/>
              <w:numId w:val="1"/>
            </w:numPr>
            <w:tabs>
              <w:tab w:pos="1173" w:val="left" w:leader="none"/>
              <w:tab w:pos="8618" w:val="right" w:leader="dot"/>
            </w:tabs>
            <w:spacing w:line="312" w:lineRule="exact" w:before="0" w:after="0"/>
            <w:ind w:left="1172" w:right="0" w:hanging="433"/>
            <w:jc w:val="left"/>
            <w:rPr>
              <w:rFonts w:ascii="Calibri" w:eastAsia="Calibri"/>
              <w:i w:val="0"/>
              <w:sz w:val="21"/>
            </w:rPr>
          </w:pPr>
          <w:hyperlink w:history="true" w:anchor="_bookmark41">
            <w:r>
              <w:rPr>
                <w:i w:val="0"/>
                <w:sz w:val="21"/>
              </w:rPr>
              <w:t>诉讼时</w:t>
            </w:r>
            <w:r>
              <w:rPr>
                <w:i w:val="0"/>
                <w:spacing w:val="-10"/>
                <w:sz w:val="21"/>
              </w:rPr>
              <w:t>效</w:t>
            </w:r>
            <w:r>
              <w:rPr>
                <w:rFonts w:ascii="Times New Roman" w:eastAsia="Times New Roman"/>
                <w:b w:val="0"/>
                <w:i w:val="0"/>
                <w:sz w:val="21"/>
              </w:rPr>
              <w:tab/>
            </w:r>
            <w:r>
              <w:rPr>
                <w:rFonts w:ascii="Times New Roman" w:eastAsia="Times New Roman"/>
                <w:b w:val="0"/>
                <w:i w:val="0"/>
                <w:spacing w:val="-5"/>
                <w:sz w:val="21"/>
              </w:rPr>
              <w:t>15</w:t>
            </w:r>
          </w:hyperlink>
        </w:p>
        <w:p>
          <w:pPr>
            <w:pStyle w:val="TOC3"/>
            <w:numPr>
              <w:ilvl w:val="0"/>
              <w:numId w:val="1"/>
            </w:numPr>
            <w:tabs>
              <w:tab w:pos="1173" w:val="left" w:leader="none"/>
              <w:tab w:pos="8618" w:val="right" w:leader="dot"/>
            </w:tabs>
            <w:spacing w:line="349" w:lineRule="exact" w:before="0" w:after="20"/>
            <w:ind w:left="1172" w:right="0" w:hanging="433"/>
            <w:jc w:val="left"/>
            <w:rPr>
              <w:rFonts w:ascii="Calibri" w:eastAsia="Calibri"/>
              <w:i w:val="0"/>
              <w:sz w:val="21"/>
            </w:rPr>
          </w:pPr>
          <w:hyperlink w:history="true" w:anchor="_bookmark42">
            <w:r>
              <w:rPr>
                <w:i w:val="0"/>
                <w:sz w:val="21"/>
              </w:rPr>
              <w:t>客户信息保</w:t>
            </w:r>
            <w:r>
              <w:rPr>
                <w:i w:val="0"/>
                <w:spacing w:val="-10"/>
                <w:sz w:val="21"/>
              </w:rPr>
              <w:t>密</w:t>
            </w:r>
            <w:r>
              <w:rPr>
                <w:rFonts w:ascii="Times New Roman" w:eastAsia="Times New Roman"/>
                <w:b w:val="0"/>
                <w:i w:val="0"/>
                <w:sz w:val="21"/>
              </w:rPr>
              <w:tab/>
            </w:r>
            <w:r>
              <w:rPr>
                <w:rFonts w:ascii="Times New Roman" w:eastAsia="Times New Roman"/>
                <w:b w:val="0"/>
                <w:i w:val="0"/>
                <w:spacing w:val="-5"/>
                <w:sz w:val="21"/>
              </w:rPr>
              <w:t>15</w:t>
            </w:r>
          </w:hyperlink>
        </w:p>
        <w:p>
          <w:pPr>
            <w:pStyle w:val="TOC3"/>
            <w:numPr>
              <w:ilvl w:val="0"/>
              <w:numId w:val="1"/>
            </w:numPr>
            <w:tabs>
              <w:tab w:pos="1173" w:val="left" w:leader="none"/>
              <w:tab w:pos="8618" w:val="right" w:leader="dot"/>
            </w:tabs>
            <w:spacing w:line="344" w:lineRule="exact" w:before="21" w:after="0"/>
            <w:ind w:left="1172" w:right="0" w:hanging="433"/>
            <w:jc w:val="left"/>
            <w:rPr>
              <w:rFonts w:ascii="Calibri" w:eastAsia="Calibri"/>
              <w:i w:val="0"/>
              <w:sz w:val="21"/>
            </w:rPr>
          </w:pPr>
          <w:hyperlink w:history="true" w:anchor="_bookmark43">
            <w:r>
              <w:rPr>
                <w:i w:val="0"/>
                <w:sz w:val="21"/>
              </w:rPr>
              <w:t>司法鉴</w:t>
            </w:r>
            <w:r>
              <w:rPr>
                <w:i w:val="0"/>
                <w:spacing w:val="-10"/>
                <w:sz w:val="21"/>
              </w:rPr>
              <w:t>定</w:t>
            </w:r>
            <w:r>
              <w:rPr>
                <w:rFonts w:ascii="Times New Roman" w:eastAsia="Times New Roman"/>
                <w:b w:val="0"/>
                <w:i w:val="0"/>
                <w:sz w:val="21"/>
              </w:rPr>
              <w:tab/>
            </w:r>
            <w:r>
              <w:rPr>
                <w:rFonts w:ascii="Times New Roman" w:eastAsia="Times New Roman"/>
                <w:b w:val="0"/>
                <w:i w:val="0"/>
                <w:spacing w:val="-5"/>
                <w:sz w:val="21"/>
              </w:rPr>
              <w:t>15</w:t>
            </w:r>
          </w:hyperlink>
        </w:p>
        <w:p>
          <w:pPr>
            <w:pStyle w:val="TOC3"/>
            <w:numPr>
              <w:ilvl w:val="0"/>
              <w:numId w:val="1"/>
            </w:numPr>
            <w:tabs>
              <w:tab w:pos="1173" w:val="left" w:leader="none"/>
              <w:tab w:pos="8618" w:val="right" w:leader="dot"/>
            </w:tabs>
            <w:spacing w:line="347" w:lineRule="exact" w:before="0" w:after="0"/>
            <w:ind w:left="1172" w:right="0" w:hanging="433"/>
            <w:jc w:val="left"/>
            <w:rPr>
              <w:rFonts w:ascii="Calibri" w:eastAsia="Calibri"/>
              <w:i w:val="0"/>
              <w:sz w:val="21"/>
            </w:rPr>
          </w:pPr>
          <w:hyperlink w:history="true" w:anchor="_bookmark44">
            <w:r>
              <w:rPr>
                <w:i w:val="0"/>
                <w:sz w:val="21"/>
              </w:rPr>
              <w:t>争议的处</w:t>
            </w:r>
            <w:r>
              <w:rPr>
                <w:i w:val="0"/>
                <w:spacing w:val="-10"/>
                <w:sz w:val="21"/>
              </w:rPr>
              <w:t>理</w:t>
            </w:r>
            <w:r>
              <w:rPr>
                <w:rFonts w:ascii="Times New Roman" w:eastAsia="Times New Roman"/>
                <w:b w:val="0"/>
                <w:i w:val="0"/>
                <w:sz w:val="21"/>
              </w:rPr>
              <w:tab/>
            </w:r>
            <w:r>
              <w:rPr>
                <w:rFonts w:ascii="Times New Roman" w:eastAsia="Times New Roman"/>
                <w:b w:val="0"/>
                <w:i w:val="0"/>
                <w:spacing w:val="-5"/>
                <w:sz w:val="21"/>
              </w:rPr>
              <w:t>15</w:t>
            </w:r>
          </w:hyperlink>
        </w:p>
        <w:p>
          <w:pPr>
            <w:pStyle w:val="TOC1"/>
            <w:tabs>
              <w:tab w:pos="8618" w:val="right" w:leader="dot"/>
            </w:tabs>
            <w:spacing w:line="267" w:lineRule="exact"/>
            <w:rPr>
              <w:rFonts w:ascii="Times New Roman" w:eastAsia="Times New Roman"/>
            </w:rPr>
          </w:pPr>
          <w:hyperlink w:history="true" w:anchor="_bookmark45">
            <w:r>
              <w:rPr>
                <w:rFonts w:ascii="仿宋" w:eastAsia="仿宋"/>
              </w:rPr>
              <w:t>释</w:t>
            </w:r>
            <w:r>
              <w:rPr>
                <w:rFonts w:ascii="仿宋" w:eastAsia="仿宋"/>
                <w:spacing w:val="-10"/>
              </w:rPr>
              <w:t>义</w:t>
            </w:r>
            <w:r>
              <w:rPr>
                <w:rFonts w:ascii="Times New Roman" w:eastAsia="Times New Roman"/>
              </w:rPr>
              <w:tab/>
            </w:r>
            <w:r>
              <w:rPr>
                <w:rFonts w:ascii="Times New Roman" w:eastAsia="Times New Roman"/>
                <w:spacing w:val="-5"/>
              </w:rPr>
              <w:t>16</w:t>
            </w:r>
          </w:hyperlink>
        </w:p>
      </w:sdtContent>
    </w:sdt>
    <w:p>
      <w:pPr>
        <w:spacing w:after="0" w:line="267" w:lineRule="exact"/>
        <w:rPr>
          <w:rFonts w:ascii="Times New Roman" w:eastAsia="Times New Roman"/>
        </w:rPr>
        <w:sectPr>
          <w:type w:val="continuous"/>
          <w:pgSz w:w="11910" w:h="16840"/>
          <w:pgMar w:header="0" w:footer="1005" w:top="1378" w:bottom="1620" w:left="1480" w:right="1480"/>
        </w:sectPr>
      </w:pPr>
    </w:p>
    <w:p>
      <w:pPr>
        <w:pStyle w:val="Heading1"/>
        <w:spacing w:line="457" w:lineRule="exact"/>
        <w:ind w:left="1601" w:right="1600"/>
      </w:pPr>
      <w:r>
        <w:rPr/>
        <w:t>瑞泰瑞鑫终身寿险（万能型）</w:t>
      </w:r>
      <w:r>
        <w:rPr>
          <w:spacing w:val="-3"/>
        </w:rPr>
        <w:t>合同条款</w:t>
      </w:r>
    </w:p>
    <w:p>
      <w:pPr>
        <w:pStyle w:val="BodyText"/>
        <w:spacing w:before="7"/>
        <w:rPr>
          <w:rFonts w:ascii="Microsoft JhengHei"/>
          <w:b/>
          <w:sz w:val="31"/>
        </w:rPr>
      </w:pPr>
    </w:p>
    <w:p>
      <w:pPr>
        <w:pStyle w:val="Heading1"/>
        <w:tabs>
          <w:tab w:pos="841" w:val="left" w:leader="none"/>
        </w:tabs>
      </w:pPr>
      <w:bookmarkStart w:name="_bookmark0" w:id="1"/>
      <w:bookmarkEnd w:id="1"/>
      <w:r>
        <w:rPr>
          <w:b w:val="0"/>
        </w:rPr>
      </w:r>
      <w:r>
        <w:rPr/>
        <w:t>一</w:t>
      </w:r>
      <w:r>
        <w:rPr>
          <w:spacing w:val="-10"/>
        </w:rPr>
        <w:t>、</w:t>
      </w:r>
      <w:r>
        <w:rPr/>
        <w:tab/>
        <w:t>基本条</w:t>
      </w:r>
      <w:r>
        <w:rPr>
          <w:spacing w:val="-10"/>
        </w:rPr>
        <w:t>款</w:t>
      </w:r>
    </w:p>
    <w:p>
      <w:pPr>
        <w:pStyle w:val="BodyText"/>
        <w:spacing w:before="15"/>
        <w:rPr>
          <w:rFonts w:ascii="Microsoft JhengHei"/>
          <w:b/>
          <w:sz w:val="30"/>
        </w:rPr>
      </w:pPr>
    </w:p>
    <w:p>
      <w:pPr>
        <w:pStyle w:val="Heading2"/>
        <w:numPr>
          <w:ilvl w:val="0"/>
          <w:numId w:val="2"/>
        </w:numPr>
        <w:tabs>
          <w:tab w:pos="681" w:val="left" w:leader="none"/>
        </w:tabs>
        <w:spacing w:line="240" w:lineRule="auto" w:before="0" w:after="0"/>
        <w:ind w:left="680" w:right="0" w:hanging="361"/>
        <w:jc w:val="left"/>
        <w:rPr>
          <w:rFonts w:ascii="Calibri" w:hAnsi="Calibri" w:eastAsia="Calibri"/>
        </w:rPr>
      </w:pPr>
      <w:bookmarkStart w:name="_bookmark1" w:id="2"/>
      <w:bookmarkEnd w:id="2"/>
      <w:r>
        <w:rPr>
          <w:b w:val="0"/>
        </w:rPr>
      </w:r>
      <w:bookmarkStart w:name="_bookmark1" w:id="3"/>
      <w:bookmarkEnd w:id="3"/>
      <w:r>
        <w:rPr>
          <w:spacing w:val="-2"/>
        </w:rPr>
        <w:t>关于瑞泰瑞鑫终身寿险</w:t>
      </w:r>
      <w:r>
        <w:rPr>
          <w:spacing w:val="-2"/>
        </w:rPr>
        <w:t>（万能型）合同（以下简称</w:t>
      </w:r>
      <w:r>
        <w:rPr>
          <w:rFonts w:ascii="Calibri" w:hAnsi="Calibri" w:eastAsia="Calibri"/>
          <w:spacing w:val="-2"/>
        </w:rPr>
        <w:t>“</w:t>
      </w:r>
      <w:r>
        <w:rPr>
          <w:spacing w:val="-2"/>
        </w:rPr>
        <w:t>本合同</w:t>
      </w:r>
      <w:r>
        <w:rPr>
          <w:rFonts w:ascii="Calibri" w:hAnsi="Calibri" w:eastAsia="Calibri"/>
          <w:spacing w:val="-5"/>
        </w:rPr>
        <w:t>”</w:t>
      </w:r>
      <w:r>
        <w:rPr>
          <w:spacing w:val="-5"/>
        </w:rPr>
        <w:t>）</w:t>
      </w:r>
    </w:p>
    <w:p>
      <w:pPr>
        <w:pStyle w:val="BodyText"/>
        <w:spacing w:line="417" w:lineRule="auto" w:before="151"/>
        <w:ind w:left="320" w:right="311" w:firstLine="419"/>
      </w:pPr>
      <w:r>
        <w:rPr>
          <w:spacing w:val="-4"/>
        </w:rPr>
        <w:t>本合同是您（指投保人）和我们（指瑞泰人寿保险有限公司）之间签订的约定保险权利</w:t>
      </w:r>
      <w:r>
        <w:rPr>
          <w:spacing w:val="-2"/>
        </w:rPr>
        <w:t>义务关系的协议。</w:t>
      </w:r>
    </w:p>
    <w:p>
      <w:pPr>
        <w:pStyle w:val="BodyText"/>
        <w:rPr>
          <w:sz w:val="20"/>
        </w:rPr>
      </w:pPr>
    </w:p>
    <w:p>
      <w:pPr>
        <w:pStyle w:val="Heading2"/>
        <w:numPr>
          <w:ilvl w:val="0"/>
          <w:numId w:val="2"/>
        </w:numPr>
        <w:tabs>
          <w:tab w:pos="681" w:val="left" w:leader="none"/>
        </w:tabs>
        <w:spacing w:line="240" w:lineRule="auto" w:before="143" w:after="0"/>
        <w:ind w:left="680" w:right="0" w:hanging="361"/>
        <w:jc w:val="left"/>
        <w:rPr>
          <w:rFonts w:ascii="Calibri" w:eastAsia="Calibri"/>
        </w:rPr>
      </w:pPr>
      <w:bookmarkStart w:name="_bookmark2" w:id="4"/>
      <w:bookmarkEnd w:id="4"/>
      <w:r>
        <w:rPr>
          <w:b w:val="0"/>
        </w:rPr>
      </w:r>
      <w:bookmarkStart w:name="_bookmark2" w:id="5"/>
      <w:bookmarkEnd w:id="5"/>
      <w:r>
        <w:rPr>
          <w:spacing w:val="-2"/>
        </w:rPr>
        <w:t>本合同的构成</w:t>
      </w:r>
    </w:p>
    <w:p>
      <w:pPr>
        <w:pStyle w:val="BodyText"/>
        <w:spacing w:line="417" w:lineRule="auto" w:before="151"/>
        <w:ind w:left="320" w:right="313" w:firstLine="419"/>
      </w:pPr>
      <w:r>
        <w:rPr>
          <w:spacing w:val="-2"/>
        </w:rPr>
        <w:t>本合同由保险单（简称</w:t>
      </w:r>
      <w:r>
        <w:rPr>
          <w:rFonts w:ascii="Calibri" w:hAnsi="Calibri" w:eastAsia="Calibri"/>
          <w:spacing w:val="-2"/>
        </w:rPr>
        <w:t>“</w:t>
      </w:r>
      <w:r>
        <w:rPr>
          <w:spacing w:val="-2"/>
        </w:rPr>
        <w:t>保单</w:t>
      </w:r>
      <w:r>
        <w:rPr>
          <w:rFonts w:ascii="Calibri" w:hAnsi="Calibri" w:eastAsia="Calibri"/>
          <w:spacing w:val="-2"/>
        </w:rPr>
        <w:t>”</w:t>
      </w:r>
      <w:r>
        <w:rPr>
          <w:spacing w:val="-2"/>
        </w:rPr>
        <w:t>）或其他保险凭证、保险合同条款、投保单、与本合同有</w:t>
      </w:r>
      <w:r>
        <w:rPr>
          <w:spacing w:val="-2"/>
        </w:rPr>
        <w:t>关的其他投保文件、合法有效的声明、通知、批注、批单和其他书面协议构成。</w:t>
      </w:r>
    </w:p>
    <w:p>
      <w:pPr>
        <w:pStyle w:val="BodyText"/>
        <w:rPr>
          <w:sz w:val="20"/>
        </w:rPr>
      </w:pPr>
    </w:p>
    <w:p>
      <w:pPr>
        <w:pStyle w:val="Heading2"/>
        <w:numPr>
          <w:ilvl w:val="0"/>
          <w:numId w:val="2"/>
        </w:numPr>
        <w:tabs>
          <w:tab w:pos="681" w:val="left" w:leader="none"/>
        </w:tabs>
        <w:spacing w:line="240" w:lineRule="auto" w:before="142" w:after="0"/>
        <w:ind w:left="680" w:right="0" w:hanging="361"/>
        <w:jc w:val="left"/>
        <w:rPr>
          <w:rFonts w:ascii="Calibri" w:eastAsia="Calibri"/>
        </w:rPr>
      </w:pPr>
      <w:bookmarkStart w:name="_bookmark3" w:id="6"/>
      <w:bookmarkEnd w:id="6"/>
      <w:r>
        <w:rPr>
          <w:b w:val="0"/>
        </w:rPr>
      </w:r>
      <w:bookmarkStart w:name="_bookmark3" w:id="7"/>
      <w:bookmarkEnd w:id="7"/>
      <w:r>
        <w:rPr>
          <w:spacing w:val="-3"/>
        </w:rPr>
        <w:t>投保条件</w:t>
      </w:r>
    </w:p>
    <w:p>
      <w:pPr>
        <w:pStyle w:val="ListParagraph"/>
        <w:numPr>
          <w:ilvl w:val="1"/>
          <w:numId w:val="2"/>
        </w:numPr>
        <w:tabs>
          <w:tab w:pos="1161" w:val="left" w:leader="none"/>
        </w:tabs>
        <w:spacing w:line="240" w:lineRule="auto" w:before="151" w:after="0"/>
        <w:ind w:left="1160" w:right="0" w:hanging="421"/>
        <w:jc w:val="left"/>
        <w:rPr>
          <w:sz w:val="21"/>
        </w:rPr>
      </w:pPr>
      <w:r>
        <w:rPr>
          <w:spacing w:val="-4"/>
          <w:sz w:val="21"/>
        </w:rPr>
        <w:t>投保人</w:t>
      </w:r>
    </w:p>
    <w:p>
      <w:pPr>
        <w:pStyle w:val="BodyText"/>
        <w:spacing w:line="333" w:lineRule="auto" w:before="130"/>
        <w:ind w:left="320" w:right="313" w:firstLine="419"/>
      </w:pPr>
      <w:r>
        <w:rPr>
          <w:spacing w:val="-7"/>
        </w:rPr>
        <w:t>您作为投保人，必须是年龄大于或等于 </w:t>
      </w:r>
      <w:r>
        <w:rPr>
          <w:rFonts w:ascii="Calibri" w:eastAsia="Calibri"/>
          <w:spacing w:val="-4"/>
        </w:rPr>
        <w:t>18</w:t>
      </w:r>
      <w:r>
        <w:rPr>
          <w:rFonts w:ascii="Calibri" w:eastAsia="Calibri"/>
          <w:spacing w:val="-8"/>
        </w:rPr>
        <w:t> </w:t>
      </w:r>
      <w:r>
        <w:rPr>
          <w:rFonts w:ascii="Microsoft JhengHei" w:eastAsia="Microsoft JhengHei"/>
          <w:b/>
          <w:spacing w:val="-4"/>
        </w:rPr>
        <w:t>周岁</w:t>
      </w:r>
      <w:r>
        <w:rPr>
          <w:spacing w:val="-4"/>
        </w:rPr>
        <w:t>（</w:t>
      </w:r>
      <w:r>
        <w:rPr>
          <w:spacing w:val="-21"/>
        </w:rPr>
        <w:t>释义 </w:t>
      </w:r>
      <w:r>
        <w:rPr>
          <w:rFonts w:ascii="Calibri" w:eastAsia="Calibri"/>
          <w:spacing w:val="35"/>
        </w:rPr>
        <w:t>1</w:t>
      </w:r>
      <w:r>
        <w:rPr>
          <w:spacing w:val="-69"/>
        </w:rPr>
        <w:t>）</w:t>
      </w:r>
      <w:r>
        <w:rPr>
          <w:spacing w:val="-4"/>
        </w:rPr>
        <w:t>，并具有完全民事行为能力的</w:t>
      </w:r>
      <w:r>
        <w:rPr>
          <w:spacing w:val="-6"/>
        </w:rPr>
        <w:t>人。</w:t>
      </w:r>
    </w:p>
    <w:p>
      <w:pPr>
        <w:pStyle w:val="ListParagraph"/>
        <w:numPr>
          <w:ilvl w:val="1"/>
          <w:numId w:val="2"/>
        </w:numPr>
        <w:tabs>
          <w:tab w:pos="1161" w:val="left" w:leader="none"/>
        </w:tabs>
        <w:spacing w:line="240" w:lineRule="auto" w:before="95" w:after="0"/>
        <w:ind w:left="1160" w:right="0" w:hanging="421"/>
        <w:jc w:val="left"/>
        <w:rPr>
          <w:sz w:val="21"/>
        </w:rPr>
      </w:pPr>
      <w:r>
        <w:rPr>
          <w:spacing w:val="-4"/>
          <w:sz w:val="21"/>
        </w:rPr>
        <w:t>被保险人</w:t>
      </w:r>
    </w:p>
    <w:p>
      <w:pPr>
        <w:pStyle w:val="BodyText"/>
        <w:spacing w:before="7"/>
        <w:rPr>
          <w:sz w:val="15"/>
        </w:rPr>
      </w:pPr>
    </w:p>
    <w:p>
      <w:pPr>
        <w:pStyle w:val="BodyText"/>
        <w:ind w:left="740"/>
      </w:pPr>
      <w:r>
        <w:rPr>
          <w:spacing w:val="-4"/>
        </w:rPr>
        <w:t>被保险人的年龄应在出生后满 </w:t>
      </w:r>
      <w:r>
        <w:rPr>
          <w:rFonts w:ascii="Calibri" w:eastAsia="Calibri"/>
        </w:rPr>
        <w:t>30</w:t>
      </w:r>
      <w:r>
        <w:rPr>
          <w:rFonts w:ascii="Calibri" w:eastAsia="Calibri"/>
          <w:spacing w:val="-12"/>
        </w:rPr>
        <w:t> </w:t>
      </w:r>
      <w:r>
        <w:rPr>
          <w:spacing w:val="-19"/>
        </w:rPr>
        <w:t>日至 </w:t>
      </w:r>
      <w:r>
        <w:rPr>
          <w:rFonts w:ascii="Calibri" w:eastAsia="Calibri"/>
        </w:rPr>
        <w:t>70</w:t>
      </w:r>
      <w:r>
        <w:rPr>
          <w:rFonts w:ascii="Calibri" w:eastAsia="Calibri"/>
          <w:spacing w:val="-10"/>
        </w:rPr>
        <w:t> </w:t>
      </w:r>
      <w:r>
        <w:rPr/>
        <w:t>周岁（含）</w:t>
      </w:r>
      <w:r>
        <w:rPr>
          <w:spacing w:val="-4"/>
        </w:rPr>
        <w:t>之间。</w:t>
      </w:r>
    </w:p>
    <w:p>
      <w:pPr>
        <w:pStyle w:val="BodyText"/>
        <w:rPr>
          <w:sz w:val="22"/>
        </w:rPr>
      </w:pPr>
    </w:p>
    <w:p>
      <w:pPr>
        <w:pStyle w:val="BodyText"/>
        <w:spacing w:before="8"/>
        <w:rPr>
          <w:sz w:val="24"/>
        </w:rPr>
      </w:pPr>
    </w:p>
    <w:p>
      <w:pPr>
        <w:pStyle w:val="Heading2"/>
        <w:numPr>
          <w:ilvl w:val="0"/>
          <w:numId w:val="2"/>
        </w:numPr>
        <w:tabs>
          <w:tab w:pos="681" w:val="left" w:leader="none"/>
        </w:tabs>
        <w:spacing w:line="240" w:lineRule="auto" w:before="0" w:after="0"/>
        <w:ind w:left="680" w:right="0" w:hanging="361"/>
        <w:jc w:val="left"/>
        <w:rPr>
          <w:rFonts w:ascii="Calibri" w:eastAsia="Calibri"/>
        </w:rPr>
      </w:pPr>
      <w:bookmarkStart w:name="_bookmark4" w:id="8"/>
      <w:bookmarkEnd w:id="8"/>
      <w:r>
        <w:rPr>
          <w:b w:val="0"/>
        </w:rPr>
      </w:r>
      <w:bookmarkStart w:name="_bookmark4" w:id="9"/>
      <w:bookmarkEnd w:id="9"/>
      <w:r>
        <w:rPr>
          <w:spacing w:val="-2"/>
        </w:rPr>
        <w:t>本合同的成立与生效</w:t>
      </w:r>
    </w:p>
    <w:p>
      <w:pPr>
        <w:pStyle w:val="BodyText"/>
        <w:spacing w:before="151"/>
        <w:ind w:left="740"/>
      </w:pPr>
      <w:r>
        <w:rPr>
          <w:spacing w:val="-3"/>
        </w:rPr>
        <w:t>您向我们完整提交投保单等相关投保文件、我们同意承保，本合同成立。</w:t>
      </w:r>
    </w:p>
    <w:p>
      <w:pPr>
        <w:pStyle w:val="BodyText"/>
        <w:spacing w:before="7"/>
        <w:rPr>
          <w:sz w:val="15"/>
        </w:rPr>
      </w:pPr>
    </w:p>
    <w:p>
      <w:pPr>
        <w:pStyle w:val="BodyText"/>
        <w:spacing w:line="417" w:lineRule="auto"/>
        <w:ind w:left="320" w:right="311" w:firstLine="419"/>
        <w:jc w:val="both"/>
      </w:pPr>
      <w:r>
        <w:rPr>
          <w:spacing w:val="-4"/>
        </w:rPr>
        <w:t>我们同意承保并收到您交纳的保险费、且被保险人生存的，本合同方可生效。合同生效</w:t>
      </w:r>
      <w:r>
        <w:rPr>
          <w:spacing w:val="-4"/>
        </w:rPr>
        <w:t>日期以保单载明日期为准。我们将及时签发保单作为保险凭证。我们从本合同生效日起开始</w:t>
      </w:r>
      <w:r>
        <w:rPr>
          <w:spacing w:val="-2"/>
        </w:rPr>
        <w:t>承担本合同约定的保险责任。</w:t>
      </w:r>
    </w:p>
    <w:p>
      <w:pPr>
        <w:spacing w:line="317" w:lineRule="exact" w:before="0"/>
        <w:ind w:left="740" w:right="0" w:firstLine="0"/>
        <w:jc w:val="both"/>
        <w:rPr>
          <w:sz w:val="21"/>
        </w:rPr>
      </w:pPr>
      <w:r>
        <w:rPr>
          <w:spacing w:val="-4"/>
          <w:sz w:val="21"/>
        </w:rPr>
        <w:t>本合同的</w:t>
      </w:r>
      <w:r>
        <w:rPr>
          <w:rFonts w:ascii="Microsoft JhengHei" w:eastAsia="Microsoft JhengHei"/>
          <w:b/>
          <w:spacing w:val="-4"/>
          <w:sz w:val="21"/>
        </w:rPr>
        <w:t>保单周年日</w:t>
      </w:r>
      <w:r>
        <w:rPr>
          <w:spacing w:val="-4"/>
          <w:sz w:val="21"/>
        </w:rPr>
        <w:t>（</w:t>
      </w:r>
      <w:r>
        <w:rPr>
          <w:spacing w:val="-21"/>
          <w:sz w:val="21"/>
        </w:rPr>
        <w:t>释义 </w:t>
      </w:r>
      <w:r>
        <w:rPr>
          <w:rFonts w:ascii="Calibri" w:eastAsia="Calibri"/>
          <w:spacing w:val="-2"/>
          <w:sz w:val="21"/>
        </w:rPr>
        <w:t>2</w:t>
      </w:r>
      <w:r>
        <w:rPr>
          <w:spacing w:val="-106"/>
          <w:sz w:val="21"/>
        </w:rPr>
        <w:t>）</w:t>
      </w:r>
      <w:r>
        <w:rPr>
          <w:spacing w:val="-4"/>
          <w:sz w:val="21"/>
        </w:rPr>
        <w:t>、</w:t>
      </w:r>
      <w:r>
        <w:rPr>
          <w:rFonts w:ascii="Microsoft JhengHei" w:eastAsia="Microsoft JhengHei"/>
          <w:b/>
          <w:spacing w:val="-4"/>
          <w:sz w:val="21"/>
        </w:rPr>
        <w:t>保单年度</w:t>
      </w:r>
      <w:r>
        <w:rPr>
          <w:spacing w:val="-4"/>
          <w:sz w:val="21"/>
        </w:rPr>
        <w:t>（</w:t>
      </w:r>
      <w:r>
        <w:rPr>
          <w:spacing w:val="-21"/>
          <w:sz w:val="21"/>
        </w:rPr>
        <w:t>释义 </w:t>
      </w:r>
      <w:r>
        <w:rPr>
          <w:rFonts w:ascii="Calibri" w:eastAsia="Calibri"/>
          <w:spacing w:val="-4"/>
          <w:sz w:val="21"/>
        </w:rPr>
        <w:t>3</w:t>
      </w:r>
      <w:r>
        <w:rPr>
          <w:spacing w:val="-4"/>
          <w:sz w:val="21"/>
        </w:rPr>
        <w:t>）</w:t>
      </w:r>
      <w:r>
        <w:rPr>
          <w:spacing w:val="-5"/>
          <w:sz w:val="21"/>
        </w:rPr>
        <w:t>均以保单中载明的生效日期为准计</w:t>
      </w:r>
    </w:p>
    <w:p>
      <w:pPr>
        <w:pStyle w:val="BodyText"/>
        <w:spacing w:before="151"/>
        <w:ind w:left="320"/>
      </w:pPr>
      <w:r>
        <w:rPr>
          <w:spacing w:val="-3"/>
        </w:rPr>
        <w:t>算。如果当月无对应的同一日，则以该月最后一日为对应日。</w:t>
      </w:r>
    </w:p>
    <w:p>
      <w:pPr>
        <w:pStyle w:val="BodyText"/>
        <w:rPr>
          <w:sz w:val="20"/>
        </w:rPr>
      </w:pPr>
    </w:p>
    <w:p>
      <w:pPr>
        <w:pStyle w:val="BodyText"/>
        <w:spacing w:before="8"/>
        <w:rPr>
          <w:sz w:val="26"/>
        </w:rPr>
      </w:pPr>
    </w:p>
    <w:p>
      <w:pPr>
        <w:pStyle w:val="Heading2"/>
        <w:numPr>
          <w:ilvl w:val="0"/>
          <w:numId w:val="2"/>
        </w:numPr>
        <w:tabs>
          <w:tab w:pos="681" w:val="left" w:leader="none"/>
        </w:tabs>
        <w:spacing w:line="240" w:lineRule="auto" w:before="0" w:after="0"/>
        <w:ind w:left="680" w:right="0" w:hanging="361"/>
        <w:jc w:val="left"/>
        <w:rPr>
          <w:rFonts w:ascii="Calibri" w:eastAsia="Calibri"/>
        </w:rPr>
      </w:pPr>
      <w:bookmarkStart w:name="_bookmark5" w:id="10"/>
      <w:bookmarkEnd w:id="10"/>
      <w:r>
        <w:rPr>
          <w:b w:val="0"/>
        </w:rPr>
      </w:r>
      <w:bookmarkStart w:name="_bookmark5" w:id="11"/>
      <w:bookmarkEnd w:id="11"/>
      <w:r>
        <w:rPr>
          <w:spacing w:val="-3"/>
        </w:rPr>
        <w:t>保险期间</w:t>
      </w:r>
    </w:p>
    <w:p>
      <w:pPr>
        <w:pStyle w:val="BodyText"/>
        <w:spacing w:before="151"/>
        <w:ind w:left="740"/>
      </w:pPr>
      <w:r>
        <w:rPr>
          <w:spacing w:val="-3"/>
        </w:rPr>
        <w:t>本合同的保险期间为终身，该保险期间在保单中载明。</w:t>
      </w:r>
    </w:p>
    <w:p>
      <w:pPr>
        <w:spacing w:after="0"/>
        <w:sectPr>
          <w:pgSz w:w="11910" w:h="16840"/>
          <w:pgMar w:header="0" w:footer="1005" w:top="1520" w:bottom="1200" w:left="1480" w:right="1480"/>
        </w:sectPr>
      </w:pPr>
    </w:p>
    <w:p>
      <w:pPr>
        <w:pStyle w:val="BodyText"/>
        <w:spacing w:before="4"/>
        <w:rPr>
          <w:sz w:val="26"/>
        </w:rPr>
      </w:pPr>
    </w:p>
    <w:p>
      <w:pPr>
        <w:pStyle w:val="Heading2"/>
        <w:numPr>
          <w:ilvl w:val="0"/>
          <w:numId w:val="2"/>
        </w:numPr>
        <w:tabs>
          <w:tab w:pos="681" w:val="left" w:leader="none"/>
        </w:tabs>
        <w:spacing w:line="240" w:lineRule="auto" w:before="3" w:after="0"/>
        <w:ind w:left="680" w:right="0" w:hanging="361"/>
        <w:jc w:val="left"/>
        <w:rPr>
          <w:rFonts w:ascii="Calibri" w:eastAsia="Calibri"/>
        </w:rPr>
      </w:pPr>
      <w:bookmarkStart w:name="_bookmark6" w:id="12"/>
      <w:bookmarkEnd w:id="12"/>
      <w:r>
        <w:rPr>
          <w:b w:val="0"/>
        </w:rPr>
      </w:r>
      <w:bookmarkStart w:name="_bookmark6" w:id="13"/>
      <w:bookmarkEnd w:id="13"/>
      <w:r>
        <w:rPr>
          <w:spacing w:val="-4"/>
        </w:rPr>
        <w:t>犹豫期</w:t>
      </w:r>
    </w:p>
    <w:p>
      <w:pPr>
        <w:pStyle w:val="BodyText"/>
        <w:spacing w:line="417" w:lineRule="auto" w:before="151"/>
        <w:ind w:left="320" w:right="311" w:firstLine="419"/>
        <w:jc w:val="both"/>
      </w:pPr>
      <w:r>
        <w:rPr>
          <w:spacing w:val="-1"/>
        </w:rPr>
        <w:t>自您收到本合同并书面签收或以我们认可的其他方式对本合同进行确认之日起，有 </w:t>
      </w:r>
      <w:r>
        <w:rPr>
          <w:rFonts w:ascii="Calibri" w:eastAsia="Calibri"/>
        </w:rPr>
        <w:t>20</w:t>
      </w:r>
      <w:r>
        <w:rPr>
          <w:spacing w:val="-4"/>
        </w:rPr>
        <w:t>日的犹豫期。在此期间请您认真审视本合同，如果您认为本合同与您的需求不相符，您可以</w:t>
      </w:r>
      <w:r>
        <w:rPr>
          <w:spacing w:val="-6"/>
        </w:rPr>
        <w:t>在此期间提出解除本合同，我们将无息退还您所支付的全部保险费</w:t>
      </w:r>
      <w:r>
        <w:rPr>
          <w:spacing w:val="-4"/>
        </w:rPr>
        <w:t>（</w:t>
      </w:r>
      <w:r>
        <w:rPr>
          <w:spacing w:val="-5"/>
        </w:rPr>
        <w:t>我们可以扣除保单工本</w:t>
      </w:r>
    </w:p>
    <w:p>
      <w:pPr>
        <w:spacing w:line="316" w:lineRule="exact" w:before="0"/>
        <w:ind w:left="320" w:right="0" w:firstLine="0"/>
        <w:jc w:val="left"/>
        <w:rPr>
          <w:rFonts w:ascii="Microsoft JhengHei" w:eastAsia="Microsoft JhengHei"/>
          <w:b/>
          <w:sz w:val="21"/>
        </w:rPr>
      </w:pPr>
      <w:r>
        <w:rPr>
          <w:spacing w:val="-4"/>
          <w:sz w:val="21"/>
        </w:rPr>
        <w:t>费</w:t>
      </w:r>
      <w:r>
        <w:rPr>
          <w:spacing w:val="-106"/>
          <w:sz w:val="21"/>
        </w:rPr>
        <w:t>）</w:t>
      </w:r>
      <w:r>
        <w:rPr>
          <w:spacing w:val="-4"/>
          <w:sz w:val="21"/>
        </w:rPr>
        <w:t>。</w:t>
      </w:r>
      <w:r>
        <w:rPr>
          <w:rFonts w:ascii="Microsoft JhengHei" w:eastAsia="Microsoft JhengHei"/>
          <w:b/>
          <w:spacing w:val="-5"/>
          <w:sz w:val="21"/>
        </w:rPr>
        <w:t>自我们收到您解除合同的书面申请时起，本合同即被解除，我们自始不承担保险责任。</w:t>
      </w:r>
    </w:p>
    <w:p>
      <w:pPr>
        <w:spacing w:line="290" w:lineRule="auto" w:before="82"/>
        <w:ind w:left="320" w:right="312" w:firstLine="422"/>
        <w:jc w:val="left"/>
        <w:rPr>
          <w:sz w:val="21"/>
        </w:rPr>
      </w:pPr>
      <w:r>
        <w:rPr>
          <w:rFonts w:ascii="Microsoft JhengHei" w:eastAsia="Microsoft JhengHei"/>
          <w:b/>
          <w:spacing w:val="-2"/>
          <w:sz w:val="21"/>
        </w:rPr>
        <w:t>由于不可抗力或您本人的原因导致犹豫期无法起算或计算错误的，我们将协助您及时</w:t>
      </w:r>
      <w:r>
        <w:rPr>
          <w:rFonts w:ascii="Microsoft JhengHei" w:eastAsia="Microsoft JhengHei"/>
          <w:b/>
          <w:spacing w:val="-2"/>
          <w:sz w:val="21"/>
        </w:rPr>
        <w:t>予以解决，但不承担损失赔偿责任</w:t>
      </w:r>
      <w:r>
        <w:rPr>
          <w:spacing w:val="-2"/>
          <w:sz w:val="21"/>
        </w:rPr>
        <w:t>。</w:t>
      </w:r>
    </w:p>
    <w:p>
      <w:pPr>
        <w:pStyle w:val="BodyText"/>
        <w:rPr>
          <w:sz w:val="20"/>
        </w:rPr>
      </w:pPr>
    </w:p>
    <w:p>
      <w:pPr>
        <w:pStyle w:val="BodyText"/>
        <w:spacing w:before="6"/>
        <w:rPr>
          <w:sz w:val="17"/>
        </w:rPr>
      </w:pPr>
    </w:p>
    <w:p>
      <w:pPr>
        <w:pStyle w:val="Heading1"/>
        <w:tabs>
          <w:tab w:pos="839" w:val="left" w:leader="none"/>
        </w:tabs>
        <w:ind w:left="0"/>
      </w:pPr>
      <w:bookmarkStart w:name="_bookmark7" w:id="14"/>
      <w:bookmarkEnd w:id="14"/>
      <w:r>
        <w:rPr>
          <w:b w:val="0"/>
        </w:rPr>
      </w:r>
      <w:r>
        <w:rPr/>
        <w:t>二</w:t>
      </w:r>
      <w:r>
        <w:rPr>
          <w:spacing w:val="-10"/>
        </w:rPr>
        <w:t>、</w:t>
      </w:r>
      <w:r>
        <w:rPr/>
        <w:tab/>
        <w:t>保险费</w:t>
      </w:r>
      <w:r>
        <w:rPr/>
        <w:t>条</w:t>
      </w:r>
      <w:r>
        <w:rPr>
          <w:spacing w:val="-10"/>
        </w:rPr>
        <w:t>款</w:t>
      </w:r>
    </w:p>
    <w:p>
      <w:pPr>
        <w:pStyle w:val="BodyText"/>
        <w:spacing w:before="15"/>
        <w:rPr>
          <w:rFonts w:ascii="Microsoft JhengHei"/>
          <w:b/>
          <w:sz w:val="30"/>
        </w:rPr>
      </w:pPr>
    </w:p>
    <w:p>
      <w:pPr>
        <w:pStyle w:val="Heading2"/>
        <w:numPr>
          <w:ilvl w:val="0"/>
          <w:numId w:val="2"/>
        </w:numPr>
        <w:tabs>
          <w:tab w:pos="681" w:val="left" w:leader="none"/>
        </w:tabs>
        <w:spacing w:line="240" w:lineRule="auto" w:before="0" w:after="0"/>
        <w:ind w:left="680" w:right="0" w:hanging="361"/>
        <w:jc w:val="left"/>
        <w:rPr>
          <w:rFonts w:ascii="Calibri" w:eastAsia="Calibri"/>
        </w:rPr>
      </w:pPr>
      <w:bookmarkStart w:name="_bookmark8" w:id="15"/>
      <w:bookmarkEnd w:id="15"/>
      <w:r>
        <w:rPr>
          <w:b w:val="0"/>
        </w:rPr>
      </w:r>
      <w:bookmarkStart w:name="_bookmark8" w:id="16"/>
      <w:bookmarkEnd w:id="16"/>
      <w:r>
        <w:rPr>
          <w:spacing w:val="-2"/>
        </w:rPr>
        <w:t>保险费的交纳</w:t>
      </w:r>
    </w:p>
    <w:p>
      <w:pPr>
        <w:pStyle w:val="BodyText"/>
        <w:spacing w:before="151"/>
        <w:ind w:left="740"/>
      </w:pPr>
      <w:r>
        <w:rPr>
          <w:spacing w:val="-3"/>
        </w:rPr>
        <w:t>本合同的保险费由以下几部分组成：</w:t>
      </w:r>
    </w:p>
    <w:p>
      <w:pPr>
        <w:pStyle w:val="BodyText"/>
        <w:spacing w:before="7"/>
        <w:rPr>
          <w:sz w:val="15"/>
        </w:rPr>
      </w:pPr>
    </w:p>
    <w:p>
      <w:pPr>
        <w:pStyle w:val="ListParagraph"/>
        <w:numPr>
          <w:ilvl w:val="0"/>
          <w:numId w:val="3"/>
        </w:numPr>
        <w:tabs>
          <w:tab w:pos="1272" w:val="left" w:leader="none"/>
        </w:tabs>
        <w:spacing w:line="417" w:lineRule="auto" w:before="0" w:after="0"/>
        <w:ind w:left="320" w:right="316" w:firstLine="419"/>
        <w:jc w:val="left"/>
        <w:rPr>
          <w:sz w:val="21"/>
        </w:rPr>
      </w:pPr>
      <w:r>
        <w:rPr>
          <w:spacing w:val="-2"/>
          <w:sz w:val="21"/>
        </w:rPr>
        <w:t>趸交保险费：投保时一次性交纳的保险费，交费金额由您本人在投保时确定，但</w:t>
      </w:r>
      <w:r>
        <w:rPr>
          <w:spacing w:val="-2"/>
          <w:sz w:val="21"/>
        </w:rPr>
        <w:t>需符合投保当时本公司的规定。</w:t>
      </w:r>
    </w:p>
    <w:p>
      <w:pPr>
        <w:pStyle w:val="ListParagraph"/>
        <w:numPr>
          <w:ilvl w:val="0"/>
          <w:numId w:val="3"/>
        </w:numPr>
        <w:tabs>
          <w:tab w:pos="1272" w:val="left" w:leader="none"/>
        </w:tabs>
        <w:spacing w:line="417" w:lineRule="auto" w:before="0" w:after="0"/>
        <w:ind w:left="320" w:right="311" w:firstLine="419"/>
        <w:jc w:val="both"/>
        <w:rPr>
          <w:sz w:val="21"/>
        </w:rPr>
      </w:pPr>
      <w:r>
        <w:rPr>
          <w:spacing w:val="-2"/>
          <w:sz w:val="21"/>
        </w:rPr>
        <w:t>追加保险费：自本合同生效日起，在被保险人生存的情况下，您可申请追加保险</w:t>
      </w:r>
      <w:r>
        <w:rPr>
          <w:spacing w:val="-4"/>
          <w:sz w:val="21"/>
        </w:rPr>
        <w:t>费，经我们审核同意，我们将按约定的交费金额收取追加保险费。我们有权调整交纳追加保</w:t>
      </w:r>
      <w:r>
        <w:rPr>
          <w:spacing w:val="-2"/>
          <w:sz w:val="21"/>
        </w:rPr>
        <w:t>险费的规定，您申请追加保险费须符合申请当时本公司的规定。</w:t>
      </w:r>
    </w:p>
    <w:p>
      <w:pPr>
        <w:pStyle w:val="ListParagraph"/>
        <w:numPr>
          <w:ilvl w:val="0"/>
          <w:numId w:val="3"/>
        </w:numPr>
        <w:tabs>
          <w:tab w:pos="1272" w:val="left" w:leader="none"/>
        </w:tabs>
        <w:spacing w:line="417" w:lineRule="auto" w:before="0" w:after="0"/>
        <w:ind w:left="320" w:right="316" w:firstLine="419"/>
        <w:jc w:val="left"/>
        <w:rPr>
          <w:sz w:val="21"/>
        </w:rPr>
      </w:pPr>
      <w:r>
        <w:rPr>
          <w:spacing w:val="-2"/>
          <w:sz w:val="21"/>
        </w:rPr>
        <w:t>转入保险费：由约定的保险合同转入的红利、生存类保险金。转入保险费的交纳</w:t>
      </w:r>
      <w:r>
        <w:rPr>
          <w:spacing w:val="-2"/>
          <w:sz w:val="21"/>
        </w:rPr>
        <w:t>由您与我们约定，并在保单中载明。</w:t>
      </w:r>
    </w:p>
    <w:p>
      <w:pPr>
        <w:pStyle w:val="BodyText"/>
        <w:rPr>
          <w:sz w:val="20"/>
        </w:rPr>
      </w:pPr>
    </w:p>
    <w:p>
      <w:pPr>
        <w:pStyle w:val="Heading2"/>
        <w:numPr>
          <w:ilvl w:val="0"/>
          <w:numId w:val="2"/>
        </w:numPr>
        <w:tabs>
          <w:tab w:pos="681" w:val="left" w:leader="none"/>
        </w:tabs>
        <w:spacing w:line="240" w:lineRule="auto" w:before="142" w:after="0"/>
        <w:ind w:left="680" w:right="0" w:hanging="361"/>
        <w:jc w:val="left"/>
        <w:rPr>
          <w:rFonts w:ascii="Calibri" w:eastAsia="Calibri"/>
        </w:rPr>
      </w:pPr>
      <w:bookmarkStart w:name="_bookmark9" w:id="17"/>
      <w:bookmarkEnd w:id="17"/>
      <w:r>
        <w:rPr>
          <w:b w:val="0"/>
        </w:rPr>
      </w:r>
      <w:bookmarkStart w:name="_bookmark9" w:id="18"/>
      <w:bookmarkEnd w:id="18"/>
      <w:r>
        <w:rPr>
          <w:spacing w:val="-4"/>
        </w:rPr>
        <w:t>宽限期</w:t>
      </w:r>
    </w:p>
    <w:p>
      <w:pPr>
        <w:pStyle w:val="BodyText"/>
        <w:spacing w:line="417" w:lineRule="auto" w:before="151"/>
        <w:ind w:left="320" w:right="311" w:firstLine="419"/>
        <w:jc w:val="both"/>
      </w:pPr>
      <w:r>
        <w:rPr>
          <w:spacing w:val="-12"/>
        </w:rPr>
        <w:t>在本合同有效期内，如果您的账户价值在每月结算日结算利息后不足以支付当月的风险</w:t>
      </w:r>
      <w:r>
        <w:rPr>
          <w:spacing w:val="-2"/>
        </w:rPr>
        <w:t>保险费，则自该结算日的次日零时起 </w:t>
      </w:r>
      <w:r>
        <w:rPr>
          <w:rFonts w:ascii="Calibri" w:eastAsia="Calibri"/>
        </w:rPr>
        <w:t>60</w:t>
      </w:r>
      <w:r>
        <w:rPr>
          <w:rFonts w:ascii="Calibri" w:eastAsia="Calibri"/>
          <w:spacing w:val="-12"/>
        </w:rPr>
        <w:t> </w:t>
      </w:r>
      <w:r>
        <w:rPr/>
        <w:t>日为宽限期。宽限期内发生的保险事故，我们仍会</w:t>
      </w:r>
      <w:r>
        <w:rPr>
          <w:spacing w:val="-2"/>
        </w:rPr>
        <w:t>承担保险责任，但在给付保险金时会扣减您欠交的风险保险费。</w:t>
      </w:r>
    </w:p>
    <w:p>
      <w:pPr>
        <w:pStyle w:val="BodyText"/>
        <w:spacing w:line="417" w:lineRule="auto"/>
        <w:ind w:left="320" w:right="311" w:firstLine="419"/>
      </w:pPr>
      <w:r>
        <w:rPr>
          <w:spacing w:val="-4"/>
        </w:rPr>
        <w:t>您在宽限期内支付保险费的，我们将该保险费在扣除初始费用后计入个人账户，并扣除</w:t>
      </w:r>
      <w:r>
        <w:rPr>
          <w:spacing w:val="-2"/>
        </w:rPr>
        <w:t>本合同欠交的风险保险费。</w:t>
      </w:r>
    </w:p>
    <w:p>
      <w:pPr>
        <w:spacing w:line="317" w:lineRule="exact" w:before="0"/>
        <w:ind w:left="742" w:right="0" w:firstLine="0"/>
        <w:jc w:val="left"/>
        <w:rPr>
          <w:rFonts w:ascii="Microsoft JhengHei" w:eastAsia="Microsoft JhengHei"/>
          <w:b/>
          <w:sz w:val="21"/>
        </w:rPr>
      </w:pPr>
      <w:r>
        <w:rPr>
          <w:rFonts w:ascii="Microsoft JhengHei" w:eastAsia="Microsoft JhengHei"/>
          <w:b/>
          <w:spacing w:val="-1"/>
          <w:sz w:val="21"/>
        </w:rPr>
        <w:t>如果宽限期结束后本合同项下账户价值仍不足以支付当月的风险保险费，则本合同自</w:t>
      </w:r>
    </w:p>
    <w:p>
      <w:pPr>
        <w:spacing w:before="82"/>
        <w:ind w:left="320" w:right="0" w:firstLine="0"/>
        <w:jc w:val="left"/>
        <w:rPr>
          <w:rFonts w:ascii="Microsoft JhengHei" w:eastAsia="Microsoft JhengHei"/>
          <w:b/>
          <w:sz w:val="21"/>
        </w:rPr>
      </w:pPr>
      <w:r>
        <w:rPr>
          <w:rFonts w:ascii="Microsoft JhengHei" w:eastAsia="Microsoft JhengHei"/>
          <w:b/>
          <w:spacing w:val="-3"/>
          <w:sz w:val="21"/>
        </w:rPr>
        <w:t>宽限期满的次日零时起效力中止。</w:t>
      </w:r>
    </w:p>
    <w:p>
      <w:pPr>
        <w:spacing w:after="0"/>
        <w:jc w:val="left"/>
        <w:rPr>
          <w:rFonts w:ascii="Microsoft JhengHei" w:eastAsia="Microsoft JhengHei"/>
          <w:sz w:val="21"/>
        </w:rPr>
        <w:sectPr>
          <w:pgSz w:w="11910" w:h="16840"/>
          <w:pgMar w:header="0" w:footer="1005" w:top="1580" w:bottom="1200" w:left="1480" w:right="1480"/>
        </w:sectPr>
      </w:pPr>
    </w:p>
    <w:p>
      <w:pPr>
        <w:pStyle w:val="BodyText"/>
        <w:spacing w:before="13"/>
        <w:rPr>
          <w:rFonts w:ascii="Microsoft JhengHei"/>
          <w:b/>
          <w:sz w:val="20"/>
        </w:rPr>
      </w:pPr>
    </w:p>
    <w:p>
      <w:pPr>
        <w:pStyle w:val="Heading1"/>
        <w:tabs>
          <w:tab w:pos="841" w:val="left" w:leader="none"/>
        </w:tabs>
        <w:spacing w:line="484" w:lineRule="exact"/>
      </w:pPr>
      <w:bookmarkStart w:name="_bookmark10" w:id="19"/>
      <w:bookmarkEnd w:id="19"/>
      <w:r>
        <w:rPr>
          <w:b w:val="0"/>
        </w:rPr>
      </w:r>
      <w:r>
        <w:rPr/>
        <w:t>三</w:t>
      </w:r>
      <w:r>
        <w:rPr>
          <w:spacing w:val="-10"/>
        </w:rPr>
        <w:t>、</w:t>
      </w:r>
      <w:r>
        <w:rPr/>
        <w:tab/>
        <w:t>账户条</w:t>
      </w:r>
      <w:r>
        <w:rPr>
          <w:spacing w:val="-10"/>
        </w:rPr>
        <w:t>款</w:t>
      </w:r>
    </w:p>
    <w:p>
      <w:pPr>
        <w:pStyle w:val="BodyText"/>
        <w:spacing w:before="4"/>
        <w:rPr>
          <w:rFonts w:ascii="Microsoft JhengHei"/>
          <w:b/>
          <w:sz w:val="22"/>
        </w:rPr>
      </w:pPr>
    </w:p>
    <w:p>
      <w:pPr>
        <w:pStyle w:val="Heading2"/>
        <w:numPr>
          <w:ilvl w:val="0"/>
          <w:numId w:val="2"/>
        </w:numPr>
        <w:tabs>
          <w:tab w:pos="681" w:val="left" w:leader="none"/>
        </w:tabs>
        <w:spacing w:line="240" w:lineRule="auto" w:before="2" w:after="0"/>
        <w:ind w:left="680" w:right="0" w:hanging="361"/>
        <w:jc w:val="left"/>
        <w:rPr>
          <w:rFonts w:ascii="Calibri" w:eastAsia="Calibri"/>
        </w:rPr>
      </w:pPr>
      <w:bookmarkStart w:name="_bookmark11" w:id="20"/>
      <w:bookmarkEnd w:id="20"/>
      <w:r>
        <w:rPr>
          <w:b w:val="0"/>
        </w:rPr>
      </w:r>
      <w:bookmarkStart w:name="_bookmark11" w:id="21"/>
      <w:bookmarkEnd w:id="21"/>
      <w:r>
        <w:rPr>
          <w:spacing w:val="-3"/>
        </w:rPr>
        <w:t>个人账户</w:t>
      </w:r>
    </w:p>
    <w:p>
      <w:pPr>
        <w:pStyle w:val="BodyText"/>
        <w:spacing w:line="417" w:lineRule="auto" w:before="151"/>
        <w:ind w:left="320" w:right="311" w:firstLine="419"/>
      </w:pPr>
      <w:r>
        <w:rPr>
          <w:spacing w:val="-4"/>
        </w:rPr>
        <w:t>本合同生效时，我们为您专门设立个人账户。本合同生效后，您所交纳的所有保险费扣</w:t>
      </w:r>
      <w:r>
        <w:rPr>
          <w:spacing w:val="-2"/>
        </w:rPr>
        <w:t>除初始费用后的余额进入您的个人账户，开始累积您的账户价值。</w:t>
      </w:r>
    </w:p>
    <w:p>
      <w:pPr>
        <w:pStyle w:val="BodyText"/>
        <w:spacing w:line="269" w:lineRule="exact"/>
        <w:ind w:left="740"/>
      </w:pPr>
      <w:r>
        <w:rPr>
          <w:spacing w:val="-3"/>
        </w:rPr>
        <w:t>我们拥有对个人账户资产的投资决定权。</w:t>
      </w:r>
    </w:p>
    <w:p>
      <w:pPr>
        <w:pStyle w:val="BodyText"/>
        <w:rPr>
          <w:sz w:val="20"/>
        </w:rPr>
      </w:pPr>
    </w:p>
    <w:p>
      <w:pPr>
        <w:pStyle w:val="BodyText"/>
        <w:spacing w:before="8"/>
        <w:rPr>
          <w:sz w:val="26"/>
        </w:rPr>
      </w:pPr>
    </w:p>
    <w:p>
      <w:pPr>
        <w:pStyle w:val="Heading2"/>
        <w:numPr>
          <w:ilvl w:val="0"/>
          <w:numId w:val="2"/>
        </w:numPr>
        <w:tabs>
          <w:tab w:pos="681" w:val="left" w:leader="none"/>
        </w:tabs>
        <w:spacing w:line="240" w:lineRule="auto" w:before="1" w:after="0"/>
        <w:ind w:left="680" w:right="0" w:hanging="361"/>
        <w:jc w:val="left"/>
        <w:rPr>
          <w:rFonts w:ascii="Calibri" w:eastAsia="Calibri"/>
        </w:rPr>
      </w:pPr>
      <w:bookmarkStart w:name="_bookmark12" w:id="22"/>
      <w:bookmarkEnd w:id="22"/>
      <w:r>
        <w:rPr>
          <w:b w:val="0"/>
        </w:rPr>
      </w:r>
      <w:bookmarkStart w:name="_bookmark12" w:id="23"/>
      <w:bookmarkEnd w:id="23"/>
      <w:r>
        <w:rPr>
          <w:spacing w:val="-3"/>
        </w:rPr>
        <w:t>初始费用</w:t>
      </w:r>
    </w:p>
    <w:p>
      <w:pPr>
        <w:pStyle w:val="BodyText"/>
        <w:spacing w:line="417" w:lineRule="auto" w:before="151"/>
        <w:ind w:left="740" w:right="2106"/>
      </w:pPr>
      <w:r>
        <w:rPr>
          <w:spacing w:val="-2"/>
        </w:rPr>
        <w:t>初始费用指您所交纳的保险费进入个人账户之前，所扣除的费用。</w:t>
      </w:r>
      <w:r>
        <w:rPr>
          <w:spacing w:val="-2"/>
        </w:rPr>
        <w:t>趸交保险费、追加保险费和转入保险费的初始费用比例均为 </w:t>
      </w:r>
      <w:r>
        <w:rPr>
          <w:rFonts w:ascii="Calibri" w:eastAsia="Calibri"/>
        </w:rPr>
        <w:t>1%</w:t>
      </w:r>
      <w:r>
        <w:rPr/>
        <w:t>。</w:t>
      </w:r>
    </w:p>
    <w:p>
      <w:pPr>
        <w:pStyle w:val="BodyText"/>
        <w:spacing w:before="1"/>
        <w:rPr>
          <w:sz w:val="31"/>
        </w:rPr>
      </w:pPr>
    </w:p>
    <w:p>
      <w:pPr>
        <w:pStyle w:val="Heading2"/>
        <w:numPr>
          <w:ilvl w:val="0"/>
          <w:numId w:val="2"/>
        </w:numPr>
        <w:tabs>
          <w:tab w:pos="681" w:val="left" w:leader="none"/>
        </w:tabs>
        <w:spacing w:line="240" w:lineRule="auto" w:before="0" w:after="0"/>
        <w:ind w:left="680" w:right="0" w:hanging="361"/>
        <w:jc w:val="left"/>
        <w:rPr>
          <w:rFonts w:ascii="Calibri" w:eastAsia="Calibri"/>
        </w:rPr>
      </w:pPr>
      <w:bookmarkStart w:name="_bookmark13" w:id="24"/>
      <w:bookmarkEnd w:id="24"/>
      <w:r>
        <w:rPr>
          <w:b w:val="0"/>
        </w:rPr>
      </w:r>
      <w:bookmarkStart w:name="_bookmark13" w:id="25"/>
      <w:bookmarkEnd w:id="25"/>
      <w:r>
        <w:rPr>
          <w:spacing w:val="-2"/>
        </w:rPr>
        <w:t>保单管理费</w:t>
      </w:r>
    </w:p>
    <w:p>
      <w:pPr>
        <w:pStyle w:val="BodyText"/>
        <w:spacing w:before="152"/>
        <w:ind w:left="740"/>
      </w:pPr>
      <w:r>
        <w:rPr>
          <w:spacing w:val="-3"/>
        </w:rPr>
        <w:t>我们不收取保单管理费。</w:t>
      </w:r>
    </w:p>
    <w:p>
      <w:pPr>
        <w:pStyle w:val="BodyText"/>
        <w:rPr>
          <w:sz w:val="20"/>
        </w:rPr>
      </w:pPr>
    </w:p>
    <w:p>
      <w:pPr>
        <w:pStyle w:val="BodyText"/>
        <w:spacing w:before="8"/>
        <w:rPr>
          <w:sz w:val="26"/>
        </w:rPr>
      </w:pPr>
    </w:p>
    <w:p>
      <w:pPr>
        <w:pStyle w:val="Heading2"/>
        <w:numPr>
          <w:ilvl w:val="0"/>
          <w:numId w:val="2"/>
        </w:numPr>
        <w:tabs>
          <w:tab w:pos="681" w:val="left" w:leader="none"/>
        </w:tabs>
        <w:spacing w:line="240" w:lineRule="auto" w:before="0" w:after="0"/>
        <w:ind w:left="680" w:right="0" w:hanging="361"/>
        <w:jc w:val="left"/>
        <w:rPr>
          <w:rFonts w:ascii="Calibri" w:eastAsia="Calibri"/>
        </w:rPr>
      </w:pPr>
      <w:bookmarkStart w:name="_bookmark14" w:id="26"/>
      <w:bookmarkEnd w:id="26"/>
      <w:r>
        <w:rPr>
          <w:b w:val="0"/>
        </w:rPr>
      </w:r>
      <w:bookmarkStart w:name="_bookmark14" w:id="27"/>
      <w:bookmarkEnd w:id="27"/>
      <w:r>
        <w:rPr>
          <w:spacing w:val="-2"/>
        </w:rPr>
        <w:t>风险保险费的收取</w:t>
      </w:r>
    </w:p>
    <w:p>
      <w:pPr>
        <w:pStyle w:val="BodyText"/>
        <w:spacing w:before="151"/>
        <w:ind w:left="740"/>
      </w:pPr>
      <w:r>
        <w:rPr>
          <w:spacing w:val="-3"/>
        </w:rPr>
        <w:t>我们对本合同承担的保险责任收取相应的风险保险费。</w:t>
      </w:r>
    </w:p>
    <w:p>
      <w:pPr>
        <w:pStyle w:val="BodyText"/>
        <w:spacing w:line="333" w:lineRule="auto" w:before="130"/>
        <w:ind w:left="320" w:right="316" w:firstLine="419"/>
      </w:pPr>
      <w:r>
        <w:rPr/>
        <w:t>本合同风险保险费根据被保险人的</w:t>
      </w:r>
      <w:r>
        <w:rPr>
          <w:rFonts w:ascii="Microsoft JhengHei" w:eastAsia="Microsoft JhengHei"/>
          <w:b/>
        </w:rPr>
        <w:t>到达年龄</w:t>
      </w:r>
      <w:r>
        <w:rPr/>
        <w:t>（</w:t>
      </w:r>
      <w:r>
        <w:rPr>
          <w:spacing w:val="-8"/>
        </w:rPr>
        <w:t>释义 </w:t>
      </w:r>
      <w:r>
        <w:rPr>
          <w:rFonts w:ascii="Calibri" w:eastAsia="Calibri"/>
        </w:rPr>
        <w:t>4</w:t>
      </w:r>
      <w:r>
        <w:rPr>
          <w:spacing w:val="-106"/>
        </w:rPr>
        <w:t>）</w:t>
      </w:r>
      <w:r>
        <w:rPr/>
        <w:t>、性别及收取风险保险费时的风</w:t>
      </w:r>
      <w:r>
        <w:rPr>
          <w:spacing w:val="-2"/>
        </w:rPr>
        <w:t>险保额确定。风险保额等于身故保险金与您的账户价值的差额。</w:t>
      </w:r>
    </w:p>
    <w:p>
      <w:pPr>
        <w:pStyle w:val="BodyText"/>
        <w:spacing w:line="417" w:lineRule="auto" w:before="95"/>
        <w:ind w:left="320" w:right="311" w:firstLine="419"/>
        <w:jc w:val="both"/>
      </w:pPr>
      <w:r>
        <w:rPr>
          <w:spacing w:val="-10"/>
        </w:rPr>
        <w:t>在本合同生效日和结算日，我们按照当日至下一个结算日的实际天数从账户价值中扣除</w:t>
      </w:r>
      <w:r>
        <w:rPr>
          <w:spacing w:val="-4"/>
        </w:rPr>
        <w:t>风险保险费。每日的风险保险费为年风险保险费的三百六十五分之一。本合同每千元风险保</w:t>
      </w:r>
      <w:r>
        <w:rPr>
          <w:spacing w:val="-2"/>
        </w:rPr>
        <w:t>额对应的年风险保险费根据附表《年风险保险费费率表》确定。</w:t>
      </w:r>
    </w:p>
    <w:p>
      <w:pPr>
        <w:pStyle w:val="BodyText"/>
        <w:spacing w:line="417" w:lineRule="auto"/>
        <w:ind w:left="320" w:right="311" w:firstLine="419"/>
        <w:jc w:val="both"/>
      </w:pPr>
      <w:r>
        <w:rPr>
          <w:spacing w:val="-4"/>
        </w:rPr>
        <w:t>您每次申请追加保险费、按约定转入保险费时，我们在该保险费生效日，对该保险费对</w:t>
      </w:r>
      <w:r>
        <w:rPr>
          <w:spacing w:val="-2"/>
        </w:rPr>
        <w:t>应的风险保额部分按照该保险费生效日至该保险费生效日后下月结算日前一日的实际天数</w:t>
      </w:r>
      <w:r>
        <w:rPr>
          <w:spacing w:val="-2"/>
        </w:rPr>
        <w:t>从账户价值中扣除风险保险费。</w:t>
      </w:r>
    </w:p>
    <w:p>
      <w:pPr>
        <w:pStyle w:val="BodyText"/>
        <w:spacing w:line="417" w:lineRule="auto"/>
        <w:ind w:left="320" w:right="311" w:firstLine="419"/>
      </w:pPr>
      <w:r>
        <w:rPr>
          <w:spacing w:val="-6"/>
        </w:rPr>
        <w:t>除发生保险事故导致本合同终止外，本合同因其他原因终止的，我们向个人账户退还合</w:t>
      </w:r>
      <w:r>
        <w:rPr>
          <w:spacing w:val="-2"/>
        </w:rPr>
        <w:t>同终止当月未经过天数所对应的风险保险费。</w:t>
      </w:r>
    </w:p>
    <w:p>
      <w:pPr>
        <w:pStyle w:val="BodyText"/>
        <w:rPr>
          <w:sz w:val="20"/>
        </w:rPr>
      </w:pPr>
    </w:p>
    <w:p>
      <w:pPr>
        <w:pStyle w:val="Heading2"/>
        <w:numPr>
          <w:ilvl w:val="0"/>
          <w:numId w:val="2"/>
        </w:numPr>
        <w:tabs>
          <w:tab w:pos="681" w:val="left" w:leader="none"/>
        </w:tabs>
        <w:spacing w:line="240" w:lineRule="auto" w:before="141" w:after="0"/>
        <w:ind w:left="680" w:right="0" w:hanging="361"/>
        <w:jc w:val="left"/>
        <w:rPr>
          <w:rFonts w:ascii="Calibri" w:eastAsia="Calibri"/>
        </w:rPr>
      </w:pPr>
      <w:bookmarkStart w:name="_bookmark15" w:id="28"/>
      <w:bookmarkEnd w:id="28"/>
      <w:r>
        <w:rPr>
          <w:b w:val="0"/>
        </w:rPr>
      </w:r>
      <w:bookmarkStart w:name="_bookmark15" w:id="29"/>
      <w:bookmarkEnd w:id="29"/>
      <w:r>
        <w:rPr>
          <w:spacing w:val="-3"/>
        </w:rPr>
        <w:t>结算利率与最低保证结算利率</w:t>
      </w:r>
    </w:p>
    <w:p>
      <w:pPr>
        <w:pStyle w:val="BodyText"/>
        <w:spacing w:before="151"/>
        <w:ind w:left="740"/>
      </w:pPr>
      <w:r>
        <w:rPr>
          <w:spacing w:val="-5"/>
        </w:rPr>
        <w:t>在本合同有效期间内，每个自然月为结算期间，我们将在每月初公布上月结算利率，用</w:t>
      </w:r>
    </w:p>
    <w:p>
      <w:pPr>
        <w:spacing w:after="0"/>
        <w:sectPr>
          <w:pgSz w:w="11910" w:h="16840"/>
          <w:pgMar w:header="0" w:footer="1005" w:top="1580" w:bottom="1200" w:left="1480" w:right="1480"/>
        </w:sectPr>
      </w:pPr>
    </w:p>
    <w:p>
      <w:pPr>
        <w:pStyle w:val="BodyText"/>
        <w:spacing w:before="61"/>
        <w:ind w:left="320"/>
      </w:pPr>
      <w:r>
        <w:rPr>
          <w:spacing w:val="-3"/>
        </w:rPr>
        <w:t>来结算您上月的账户价值。</w:t>
      </w:r>
    </w:p>
    <w:p>
      <w:pPr>
        <w:pStyle w:val="BodyText"/>
        <w:spacing w:before="7"/>
        <w:rPr>
          <w:sz w:val="15"/>
        </w:rPr>
      </w:pPr>
    </w:p>
    <w:p>
      <w:pPr>
        <w:pStyle w:val="BodyText"/>
        <w:spacing w:line="417" w:lineRule="auto"/>
        <w:ind w:left="320" w:right="311" w:firstLine="419"/>
      </w:pPr>
      <w:r>
        <w:rPr>
          <w:spacing w:val="-4"/>
        </w:rPr>
        <w:t>我们在每个保单周年日向您寄送最新的保单状态报告，或经您同意，以电子邮件等非纸</w:t>
      </w:r>
      <w:r>
        <w:rPr>
          <w:spacing w:val="-2"/>
        </w:rPr>
        <w:t>质方式提供给您。</w:t>
      </w:r>
    </w:p>
    <w:p>
      <w:pPr>
        <w:pStyle w:val="BodyText"/>
        <w:spacing w:line="417" w:lineRule="auto"/>
        <w:ind w:left="320" w:right="311" w:firstLine="419"/>
      </w:pPr>
      <w:r>
        <w:rPr>
          <w:spacing w:val="-7"/>
        </w:rPr>
        <w:t>我们为您的个人账户设立一个最低保证结算利率，您的个人账户的结算利率最低为年利</w:t>
      </w:r>
      <w:r>
        <w:rPr>
          <w:spacing w:val="-21"/>
        </w:rPr>
        <w:t>率 </w:t>
      </w:r>
      <w:r>
        <w:rPr>
          <w:rFonts w:ascii="Calibri" w:eastAsia="Calibri"/>
        </w:rPr>
        <w:t>2.5%</w:t>
      </w:r>
      <w:r>
        <w:rPr/>
        <w:t>。</w:t>
      </w:r>
    </w:p>
    <w:p>
      <w:pPr>
        <w:spacing w:line="317" w:lineRule="exact" w:before="0"/>
        <w:ind w:left="742" w:right="0" w:firstLine="0"/>
        <w:jc w:val="left"/>
        <w:rPr>
          <w:rFonts w:ascii="Microsoft JhengHei" w:eastAsia="Microsoft JhengHei"/>
          <w:b/>
          <w:sz w:val="21"/>
        </w:rPr>
      </w:pPr>
      <w:r>
        <w:rPr>
          <w:rFonts w:ascii="Microsoft JhengHei" w:eastAsia="Microsoft JhengHei"/>
          <w:b/>
          <w:spacing w:val="-1"/>
          <w:sz w:val="21"/>
        </w:rPr>
        <w:t>最低保证结算利率之上的投资收益是不确定的，但实际结算利率将不低于最低保证结</w:t>
      </w:r>
    </w:p>
    <w:p>
      <w:pPr>
        <w:spacing w:before="82"/>
        <w:ind w:left="320" w:right="0" w:firstLine="0"/>
        <w:jc w:val="left"/>
        <w:rPr>
          <w:rFonts w:ascii="Microsoft JhengHei" w:eastAsia="Microsoft JhengHei"/>
          <w:b/>
          <w:sz w:val="21"/>
        </w:rPr>
      </w:pPr>
      <w:r>
        <w:rPr>
          <w:rFonts w:ascii="Microsoft JhengHei" w:eastAsia="Microsoft JhengHei"/>
          <w:b/>
          <w:spacing w:val="-3"/>
          <w:sz w:val="21"/>
        </w:rPr>
        <w:t>算利率。</w:t>
      </w:r>
    </w:p>
    <w:p>
      <w:pPr>
        <w:pStyle w:val="BodyText"/>
        <w:spacing w:before="16"/>
        <w:rPr>
          <w:rFonts w:ascii="Microsoft JhengHei"/>
          <w:b/>
          <w:sz w:val="29"/>
        </w:rPr>
      </w:pPr>
    </w:p>
    <w:p>
      <w:pPr>
        <w:pStyle w:val="Heading2"/>
        <w:numPr>
          <w:ilvl w:val="0"/>
          <w:numId w:val="2"/>
        </w:numPr>
        <w:tabs>
          <w:tab w:pos="681" w:val="left" w:leader="none"/>
        </w:tabs>
        <w:spacing w:line="240" w:lineRule="auto" w:before="0" w:after="0"/>
        <w:ind w:left="680" w:right="0" w:hanging="361"/>
        <w:jc w:val="left"/>
        <w:rPr>
          <w:rFonts w:ascii="Calibri" w:eastAsia="Calibri"/>
        </w:rPr>
      </w:pPr>
      <w:bookmarkStart w:name="_bookmark16" w:id="30"/>
      <w:bookmarkEnd w:id="30"/>
      <w:r>
        <w:rPr>
          <w:b w:val="0"/>
        </w:rPr>
      </w:r>
      <w:bookmarkStart w:name="_bookmark16" w:id="31"/>
      <w:bookmarkEnd w:id="31"/>
      <w:r>
        <w:rPr>
          <w:spacing w:val="-3"/>
        </w:rPr>
        <w:t>账户结算</w:t>
      </w:r>
    </w:p>
    <w:p>
      <w:pPr>
        <w:pStyle w:val="BodyText"/>
        <w:spacing w:line="417" w:lineRule="auto" w:before="152"/>
        <w:ind w:left="320" w:right="311" w:firstLine="419"/>
      </w:pPr>
      <w:r>
        <w:rPr>
          <w:spacing w:val="-9"/>
        </w:rPr>
        <w:t>在本合同结算日结算的，计息天数为本合同上月的实际经过天数，利率为我们公布的上</w:t>
      </w:r>
      <w:r>
        <w:rPr>
          <w:spacing w:val="-2"/>
        </w:rPr>
        <w:t>月结算利率，按日以复利计算。</w:t>
      </w:r>
    </w:p>
    <w:p>
      <w:pPr>
        <w:pStyle w:val="BodyText"/>
        <w:spacing w:line="417" w:lineRule="auto"/>
        <w:ind w:left="320" w:right="311" w:firstLine="419"/>
      </w:pPr>
      <w:r>
        <w:rPr>
          <w:spacing w:val="-7"/>
        </w:rPr>
        <w:t>在本合同终止时结算的，计息天数为本合同当月实际经过天数，利率为我们最近一次公</w:t>
      </w:r>
      <w:r>
        <w:rPr>
          <w:spacing w:val="-2"/>
        </w:rPr>
        <w:t>布的结算利率，按日以复利计算。</w:t>
      </w:r>
    </w:p>
    <w:p>
      <w:pPr>
        <w:pStyle w:val="BodyText"/>
        <w:spacing w:before="11"/>
        <w:rPr>
          <w:sz w:val="18"/>
        </w:rPr>
      </w:pPr>
    </w:p>
    <w:p>
      <w:pPr>
        <w:pStyle w:val="Heading2"/>
        <w:numPr>
          <w:ilvl w:val="0"/>
          <w:numId w:val="2"/>
        </w:numPr>
        <w:tabs>
          <w:tab w:pos="681" w:val="left" w:leader="none"/>
        </w:tabs>
        <w:spacing w:line="240" w:lineRule="auto" w:before="0" w:after="0"/>
        <w:ind w:left="680" w:right="0" w:hanging="361"/>
        <w:jc w:val="left"/>
        <w:rPr>
          <w:rFonts w:ascii="Calibri" w:eastAsia="Calibri"/>
        </w:rPr>
      </w:pPr>
      <w:bookmarkStart w:name="_bookmark17" w:id="32"/>
      <w:bookmarkEnd w:id="32"/>
      <w:r>
        <w:rPr>
          <w:b w:val="0"/>
        </w:rPr>
      </w:r>
      <w:bookmarkStart w:name="_bookmark17" w:id="33"/>
      <w:bookmarkEnd w:id="33"/>
      <w:r>
        <w:rPr>
          <w:spacing w:val="-3"/>
        </w:rPr>
        <w:t>持续奖金</w:t>
      </w:r>
    </w:p>
    <w:p>
      <w:pPr>
        <w:pStyle w:val="BodyText"/>
        <w:spacing w:before="151"/>
        <w:ind w:left="740"/>
      </w:pPr>
      <w:r>
        <w:rPr>
          <w:spacing w:val="-3"/>
        </w:rPr>
        <w:t>在本合同保险期间内且本合同有效，我们将按照下列约定发放持续奖金：</w:t>
      </w:r>
    </w:p>
    <w:p>
      <w:pPr>
        <w:pStyle w:val="BodyText"/>
        <w:spacing w:before="7"/>
        <w:rPr>
          <w:sz w:val="15"/>
        </w:rPr>
      </w:pPr>
    </w:p>
    <w:p>
      <w:pPr>
        <w:pStyle w:val="BodyText"/>
        <w:spacing w:line="417" w:lineRule="auto"/>
        <w:ind w:left="320" w:right="311" w:firstLine="419"/>
        <w:jc w:val="both"/>
      </w:pPr>
      <w:r>
        <w:rPr>
          <w:spacing w:val="-5"/>
        </w:rPr>
        <w:t>若被保险人于本合同第 </w:t>
      </w:r>
      <w:r>
        <w:rPr>
          <w:rFonts w:ascii="Calibri" w:eastAsia="Calibri"/>
          <w:spacing w:val="-2"/>
        </w:rPr>
        <w:t>5</w:t>
      </w:r>
      <w:r>
        <w:rPr>
          <w:rFonts w:ascii="Calibri" w:eastAsia="Calibri"/>
          <w:spacing w:val="-10"/>
        </w:rPr>
        <w:t> </w:t>
      </w:r>
      <w:r>
        <w:rPr>
          <w:spacing w:val="-12"/>
        </w:rPr>
        <w:t>个保单周年日零时生存，我们将于该保单周年日按照前 </w:t>
      </w:r>
      <w:r>
        <w:rPr>
          <w:rFonts w:ascii="Calibri" w:eastAsia="Calibri"/>
          <w:spacing w:val="-2"/>
        </w:rPr>
        <w:t>5</w:t>
      </w:r>
      <w:r>
        <w:rPr>
          <w:rFonts w:ascii="Calibri" w:eastAsia="Calibri"/>
          <w:spacing w:val="11"/>
        </w:rPr>
        <w:t> </w:t>
      </w:r>
      <w:r>
        <w:rPr>
          <w:spacing w:val="-2"/>
        </w:rPr>
        <w:t>个保</w:t>
      </w:r>
      <w:r>
        <w:rPr>
          <w:spacing w:val="-3"/>
        </w:rPr>
        <w:t>单年度累计已交纳保险费数额的 </w:t>
      </w:r>
      <w:r>
        <w:rPr>
          <w:rFonts w:ascii="Calibri" w:eastAsia="Calibri"/>
        </w:rPr>
        <w:t>1%</w:t>
      </w:r>
      <w:r>
        <w:rPr/>
        <w:t>发放持续奖金并计入保单账户。</w:t>
      </w:r>
    </w:p>
    <w:p>
      <w:pPr>
        <w:pStyle w:val="BodyText"/>
        <w:spacing w:line="417" w:lineRule="auto"/>
        <w:ind w:left="320" w:right="311" w:firstLine="419"/>
        <w:jc w:val="both"/>
      </w:pPr>
      <w:r>
        <w:rPr>
          <w:spacing w:val="-10"/>
        </w:rPr>
        <w:t>自第 </w:t>
      </w:r>
      <w:r>
        <w:rPr>
          <w:rFonts w:ascii="Calibri" w:eastAsia="Calibri"/>
          <w:spacing w:val="-2"/>
        </w:rPr>
        <w:t>6</w:t>
      </w:r>
      <w:r>
        <w:rPr>
          <w:rFonts w:ascii="Calibri" w:eastAsia="Calibri"/>
          <w:spacing w:val="-10"/>
        </w:rPr>
        <w:t> </w:t>
      </w:r>
      <w:r>
        <w:rPr>
          <w:spacing w:val="-4"/>
        </w:rPr>
        <w:t>个保单周年日起的每个保单周年日，若被保险人于该保单周年日零时生存，我们</w:t>
      </w:r>
      <w:r>
        <w:rPr>
          <w:spacing w:val="-2"/>
        </w:rPr>
        <w:t>将于该保单周年日按照上一个保单年度累计已交纳保险费数额的 </w:t>
      </w:r>
      <w:r>
        <w:rPr>
          <w:rFonts w:ascii="Calibri" w:eastAsia="Calibri"/>
          <w:spacing w:val="-2"/>
        </w:rPr>
        <w:t>1%</w:t>
      </w:r>
      <w:r>
        <w:rPr>
          <w:spacing w:val="-2"/>
        </w:rPr>
        <w:t>发放持续奖金并计入保</w:t>
      </w:r>
      <w:r>
        <w:rPr>
          <w:spacing w:val="-4"/>
        </w:rPr>
        <w:t>单账户。</w:t>
      </w:r>
    </w:p>
    <w:p>
      <w:pPr>
        <w:pStyle w:val="BodyText"/>
        <w:rPr>
          <w:sz w:val="20"/>
        </w:rPr>
      </w:pPr>
    </w:p>
    <w:p>
      <w:pPr>
        <w:pStyle w:val="Heading2"/>
        <w:numPr>
          <w:ilvl w:val="0"/>
          <w:numId w:val="2"/>
        </w:numPr>
        <w:tabs>
          <w:tab w:pos="681" w:val="left" w:leader="none"/>
        </w:tabs>
        <w:spacing w:line="240" w:lineRule="auto" w:before="142" w:after="0"/>
        <w:ind w:left="680" w:right="0" w:hanging="361"/>
        <w:jc w:val="left"/>
        <w:rPr>
          <w:rFonts w:ascii="Calibri" w:eastAsia="Calibri"/>
        </w:rPr>
      </w:pPr>
      <w:bookmarkStart w:name="_bookmark18" w:id="34"/>
      <w:bookmarkEnd w:id="34"/>
      <w:r>
        <w:rPr>
          <w:b w:val="0"/>
        </w:rPr>
      </w:r>
      <w:bookmarkStart w:name="_bookmark18" w:id="35"/>
      <w:bookmarkEnd w:id="35"/>
      <w:r>
        <w:rPr>
          <w:spacing w:val="-3"/>
        </w:rPr>
        <w:t>部分领取账户价值及手续费</w:t>
      </w:r>
    </w:p>
    <w:p>
      <w:pPr>
        <w:pStyle w:val="BodyText"/>
        <w:spacing w:line="417" w:lineRule="auto" w:before="151"/>
        <w:ind w:left="320" w:right="311" w:firstLine="419"/>
      </w:pPr>
      <w:r>
        <w:rPr>
          <w:spacing w:val="-4"/>
        </w:rPr>
        <w:t>在本合同有效期间内，您在犹豫期后可以书面通知我们，部分领取您的账户价值，但应</w:t>
      </w:r>
      <w:r>
        <w:rPr>
          <w:spacing w:val="-2"/>
        </w:rPr>
        <w:t>符合如下规定：</w:t>
      </w:r>
    </w:p>
    <w:p>
      <w:pPr>
        <w:pStyle w:val="ListParagraph"/>
        <w:numPr>
          <w:ilvl w:val="1"/>
          <w:numId w:val="2"/>
        </w:numPr>
        <w:tabs>
          <w:tab w:pos="1161" w:val="left" w:leader="none"/>
        </w:tabs>
        <w:spacing w:line="417" w:lineRule="auto" w:before="1" w:after="0"/>
        <w:ind w:left="320" w:right="311" w:firstLine="419"/>
        <w:jc w:val="both"/>
        <w:rPr>
          <w:sz w:val="21"/>
        </w:rPr>
      </w:pPr>
      <w:r>
        <w:rPr/>
        <w:pict>
          <v:shape style="position:absolute;margin-left:79.344002pt;margin-top:65.269989pt;width:436.8pt;height:48.2pt;mso-position-horizontal-relative:page;mso-position-vertical-relative:paragraph;z-index:15729152" type="#_x0000_t202" id="docshape2" filled="false" stroked="false">
            <v:textbox inset="0,0,0,0">
              <w:txbxContent>
                <w:tbl>
                  <w:tblPr>
                    <w:tblW w:w="0" w:type="auto"/>
                    <w:jc w:val="left"/>
                    <w:tblInd w:w="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top w:w="0" w:type="dxa"/>
                      <w:left w:w="0" w:type="dxa"/>
                      <w:bottom w:w="0" w:type="dxa"/>
                      <w:right w:w="0" w:type="dxa"/>
                    </w:tblCellMar>
                    <w:tblLook w:val="01E0"/>
                  </w:tblPr>
                  <w:tblGrid>
                    <w:gridCol w:w="1279"/>
                    <w:gridCol w:w="1176"/>
                    <w:gridCol w:w="1173"/>
                    <w:gridCol w:w="1175"/>
                    <w:gridCol w:w="1175"/>
                    <w:gridCol w:w="1172"/>
                    <w:gridCol w:w="1569"/>
                  </w:tblGrid>
                  <w:tr>
                    <w:trPr>
                      <w:trHeight w:val="467" w:hRule="atLeast"/>
                    </w:trPr>
                    <w:tc>
                      <w:tcPr>
                        <w:tcW w:w="1279" w:type="dxa"/>
                      </w:tcPr>
                      <w:p>
                        <w:pPr>
                          <w:pStyle w:val="TableParagraph"/>
                          <w:spacing w:before="101"/>
                          <w:ind w:left="107"/>
                          <w:jc w:val="left"/>
                          <w:rPr>
                            <w:rFonts w:ascii="宋体" w:eastAsia="宋体"/>
                            <w:sz w:val="21"/>
                          </w:rPr>
                        </w:pPr>
                        <w:r>
                          <w:rPr>
                            <w:rFonts w:ascii="宋体" w:eastAsia="宋体"/>
                            <w:spacing w:val="-4"/>
                            <w:sz w:val="21"/>
                          </w:rPr>
                          <w:t>保单年度</w:t>
                        </w:r>
                      </w:p>
                    </w:tc>
                    <w:tc>
                      <w:tcPr>
                        <w:tcW w:w="1176" w:type="dxa"/>
                      </w:tcPr>
                      <w:p>
                        <w:pPr>
                          <w:pStyle w:val="TableParagraph"/>
                          <w:spacing w:before="101"/>
                          <w:ind w:left="258" w:right="249"/>
                          <w:rPr>
                            <w:rFonts w:ascii="宋体" w:eastAsia="宋体"/>
                            <w:sz w:val="21"/>
                          </w:rPr>
                        </w:pPr>
                        <w:r>
                          <w:rPr>
                            <w:rFonts w:ascii="宋体" w:eastAsia="宋体"/>
                            <w:spacing w:val="-4"/>
                            <w:sz w:val="21"/>
                          </w:rPr>
                          <w:t>第一年</w:t>
                        </w:r>
                      </w:p>
                    </w:tc>
                    <w:tc>
                      <w:tcPr>
                        <w:tcW w:w="1173" w:type="dxa"/>
                      </w:tcPr>
                      <w:p>
                        <w:pPr>
                          <w:pStyle w:val="TableParagraph"/>
                          <w:spacing w:before="101"/>
                          <w:ind w:left="259" w:right="245"/>
                          <w:rPr>
                            <w:rFonts w:ascii="宋体" w:eastAsia="宋体"/>
                            <w:sz w:val="21"/>
                          </w:rPr>
                        </w:pPr>
                        <w:r>
                          <w:rPr>
                            <w:rFonts w:ascii="宋体" w:eastAsia="宋体"/>
                            <w:spacing w:val="-4"/>
                            <w:sz w:val="21"/>
                          </w:rPr>
                          <w:t>第二年</w:t>
                        </w:r>
                      </w:p>
                    </w:tc>
                    <w:tc>
                      <w:tcPr>
                        <w:tcW w:w="1175" w:type="dxa"/>
                      </w:tcPr>
                      <w:p>
                        <w:pPr>
                          <w:pStyle w:val="TableParagraph"/>
                          <w:spacing w:before="101"/>
                          <w:ind w:left="258" w:right="245"/>
                          <w:rPr>
                            <w:rFonts w:ascii="宋体" w:eastAsia="宋体"/>
                            <w:sz w:val="21"/>
                          </w:rPr>
                        </w:pPr>
                        <w:r>
                          <w:rPr>
                            <w:rFonts w:ascii="宋体" w:eastAsia="宋体"/>
                            <w:spacing w:val="-4"/>
                            <w:sz w:val="21"/>
                          </w:rPr>
                          <w:t>第三年</w:t>
                        </w:r>
                      </w:p>
                    </w:tc>
                    <w:tc>
                      <w:tcPr>
                        <w:tcW w:w="1175" w:type="dxa"/>
                      </w:tcPr>
                      <w:p>
                        <w:pPr>
                          <w:pStyle w:val="TableParagraph"/>
                          <w:spacing w:before="101"/>
                          <w:ind w:left="260" w:right="244"/>
                          <w:rPr>
                            <w:rFonts w:ascii="宋体" w:eastAsia="宋体"/>
                            <w:sz w:val="21"/>
                          </w:rPr>
                        </w:pPr>
                        <w:r>
                          <w:rPr>
                            <w:rFonts w:ascii="宋体" w:eastAsia="宋体"/>
                            <w:spacing w:val="-4"/>
                            <w:sz w:val="21"/>
                          </w:rPr>
                          <w:t>第四年</w:t>
                        </w:r>
                      </w:p>
                    </w:tc>
                    <w:tc>
                      <w:tcPr>
                        <w:tcW w:w="1172" w:type="dxa"/>
                      </w:tcPr>
                      <w:p>
                        <w:pPr>
                          <w:pStyle w:val="TableParagraph"/>
                          <w:spacing w:before="101"/>
                          <w:ind w:left="262" w:right="241"/>
                          <w:rPr>
                            <w:rFonts w:ascii="宋体" w:eastAsia="宋体"/>
                            <w:sz w:val="21"/>
                          </w:rPr>
                        </w:pPr>
                        <w:r>
                          <w:rPr>
                            <w:rFonts w:ascii="宋体" w:eastAsia="宋体"/>
                            <w:spacing w:val="-4"/>
                            <w:sz w:val="21"/>
                          </w:rPr>
                          <w:t>第五年</w:t>
                        </w:r>
                      </w:p>
                    </w:tc>
                    <w:tc>
                      <w:tcPr>
                        <w:tcW w:w="1569" w:type="dxa"/>
                      </w:tcPr>
                      <w:p>
                        <w:pPr>
                          <w:pStyle w:val="TableParagraph"/>
                          <w:spacing w:before="101"/>
                          <w:ind w:left="141" w:right="121"/>
                          <w:rPr>
                            <w:rFonts w:ascii="宋体" w:eastAsia="宋体"/>
                            <w:sz w:val="21"/>
                          </w:rPr>
                        </w:pPr>
                        <w:r>
                          <w:rPr>
                            <w:rFonts w:ascii="宋体" w:eastAsia="宋体"/>
                            <w:spacing w:val="-4"/>
                            <w:sz w:val="21"/>
                          </w:rPr>
                          <w:t>第六年及以后</w:t>
                        </w:r>
                      </w:p>
                    </w:tc>
                  </w:tr>
                  <w:tr>
                    <w:trPr>
                      <w:trHeight w:val="467" w:hRule="atLeast"/>
                    </w:trPr>
                    <w:tc>
                      <w:tcPr>
                        <w:tcW w:w="1279" w:type="dxa"/>
                      </w:tcPr>
                      <w:p>
                        <w:pPr>
                          <w:pStyle w:val="TableParagraph"/>
                          <w:spacing w:before="99"/>
                          <w:ind w:left="107"/>
                          <w:jc w:val="left"/>
                          <w:rPr>
                            <w:rFonts w:ascii="宋体" w:eastAsia="宋体"/>
                            <w:sz w:val="21"/>
                          </w:rPr>
                        </w:pPr>
                        <w:r>
                          <w:rPr>
                            <w:rFonts w:ascii="宋体" w:eastAsia="宋体"/>
                            <w:spacing w:val="-4"/>
                            <w:sz w:val="21"/>
                          </w:rPr>
                          <w:t>手续费比例</w:t>
                        </w:r>
                      </w:p>
                    </w:tc>
                    <w:tc>
                      <w:tcPr>
                        <w:tcW w:w="1176" w:type="dxa"/>
                      </w:tcPr>
                      <w:p>
                        <w:pPr>
                          <w:pStyle w:val="TableParagraph"/>
                          <w:spacing w:before="104"/>
                          <w:ind w:left="258" w:right="249"/>
                          <w:rPr>
                            <w:sz w:val="21"/>
                          </w:rPr>
                        </w:pPr>
                        <w:r>
                          <w:rPr>
                            <w:spacing w:val="-5"/>
                            <w:sz w:val="21"/>
                          </w:rPr>
                          <w:t>3%</w:t>
                        </w:r>
                      </w:p>
                    </w:tc>
                    <w:tc>
                      <w:tcPr>
                        <w:tcW w:w="1173" w:type="dxa"/>
                      </w:tcPr>
                      <w:p>
                        <w:pPr>
                          <w:pStyle w:val="TableParagraph"/>
                          <w:spacing w:before="104"/>
                          <w:ind w:left="258" w:right="245"/>
                          <w:rPr>
                            <w:sz w:val="21"/>
                          </w:rPr>
                        </w:pPr>
                        <w:r>
                          <w:rPr>
                            <w:spacing w:val="-5"/>
                            <w:sz w:val="21"/>
                          </w:rPr>
                          <w:t>3%</w:t>
                        </w:r>
                      </w:p>
                    </w:tc>
                    <w:tc>
                      <w:tcPr>
                        <w:tcW w:w="1175" w:type="dxa"/>
                      </w:tcPr>
                      <w:p>
                        <w:pPr>
                          <w:pStyle w:val="TableParagraph"/>
                          <w:spacing w:before="104"/>
                          <w:ind w:left="258" w:right="245"/>
                          <w:rPr>
                            <w:sz w:val="21"/>
                          </w:rPr>
                        </w:pPr>
                        <w:r>
                          <w:rPr>
                            <w:spacing w:val="-5"/>
                            <w:sz w:val="21"/>
                          </w:rPr>
                          <w:t>2%</w:t>
                        </w:r>
                      </w:p>
                    </w:tc>
                    <w:tc>
                      <w:tcPr>
                        <w:tcW w:w="1175" w:type="dxa"/>
                      </w:tcPr>
                      <w:p>
                        <w:pPr>
                          <w:pStyle w:val="TableParagraph"/>
                          <w:spacing w:before="104"/>
                          <w:ind w:left="260" w:right="245"/>
                          <w:rPr>
                            <w:sz w:val="21"/>
                          </w:rPr>
                        </w:pPr>
                        <w:r>
                          <w:rPr>
                            <w:spacing w:val="-5"/>
                            <w:sz w:val="21"/>
                          </w:rPr>
                          <w:t>2%</w:t>
                        </w:r>
                      </w:p>
                    </w:tc>
                    <w:tc>
                      <w:tcPr>
                        <w:tcW w:w="1172" w:type="dxa"/>
                      </w:tcPr>
                      <w:p>
                        <w:pPr>
                          <w:pStyle w:val="TableParagraph"/>
                          <w:spacing w:before="104"/>
                          <w:ind w:left="261" w:right="241"/>
                          <w:rPr>
                            <w:sz w:val="21"/>
                          </w:rPr>
                        </w:pPr>
                        <w:r>
                          <w:rPr>
                            <w:spacing w:val="-5"/>
                            <w:sz w:val="21"/>
                          </w:rPr>
                          <w:t>1%</w:t>
                        </w:r>
                      </w:p>
                    </w:tc>
                    <w:tc>
                      <w:tcPr>
                        <w:tcW w:w="1569" w:type="dxa"/>
                      </w:tcPr>
                      <w:p>
                        <w:pPr>
                          <w:pStyle w:val="TableParagraph"/>
                          <w:spacing w:before="104"/>
                          <w:ind w:left="141" w:right="120"/>
                          <w:rPr>
                            <w:sz w:val="21"/>
                          </w:rPr>
                        </w:pPr>
                        <w:r>
                          <w:rPr>
                            <w:spacing w:val="-5"/>
                            <w:sz w:val="21"/>
                          </w:rPr>
                          <w:t>0%</w:t>
                        </w:r>
                      </w:p>
                    </w:tc>
                  </w:tr>
                </w:tbl>
                <w:p>
                  <w:pPr>
                    <w:pStyle w:val="BodyText"/>
                  </w:pPr>
                </w:p>
              </w:txbxContent>
            </v:textbox>
            <w10:wrap type="none"/>
          </v:shape>
        </w:pict>
      </w:r>
      <w:r>
        <w:rPr>
          <w:spacing w:val="-4"/>
          <w:sz w:val="21"/>
        </w:rPr>
        <w:t>我们将根据您的保单年度、部分领取的账户价值以及下表中规定的比例，以领取的</w:t>
      </w:r>
      <w:r>
        <w:rPr>
          <w:spacing w:val="-4"/>
          <w:sz w:val="21"/>
        </w:rPr>
        <w:t>账户价值为计算基础，收取一定的部分领取手续费并在您剩余的账户价值中扣除，具体的比</w:t>
      </w:r>
      <w:r>
        <w:rPr>
          <w:spacing w:val="-4"/>
          <w:sz w:val="21"/>
        </w:rPr>
        <w:t>例如下：</w:t>
      </w:r>
    </w:p>
    <w:p>
      <w:pPr>
        <w:spacing w:after="0" w:line="417" w:lineRule="auto"/>
        <w:jc w:val="both"/>
        <w:rPr>
          <w:sz w:val="21"/>
        </w:rPr>
        <w:sectPr>
          <w:pgSz w:w="11910" w:h="16840"/>
          <w:pgMar w:header="0" w:footer="1005" w:top="1460" w:bottom="1200" w:left="1480" w:right="1480"/>
        </w:sectPr>
      </w:pPr>
    </w:p>
    <w:p>
      <w:pPr>
        <w:pStyle w:val="ListParagraph"/>
        <w:numPr>
          <w:ilvl w:val="1"/>
          <w:numId w:val="2"/>
        </w:numPr>
        <w:tabs>
          <w:tab w:pos="1161" w:val="left" w:leader="none"/>
        </w:tabs>
        <w:spacing w:line="240" w:lineRule="auto" w:before="61" w:after="0"/>
        <w:ind w:left="1160" w:right="0" w:hanging="421"/>
        <w:jc w:val="left"/>
        <w:rPr>
          <w:sz w:val="21"/>
        </w:rPr>
      </w:pPr>
      <w:r>
        <w:rPr>
          <w:spacing w:val="-3"/>
          <w:sz w:val="21"/>
        </w:rPr>
        <w:t>您要求部分领取时，应向我们提供下列证明和资料：</w:t>
      </w:r>
    </w:p>
    <w:p>
      <w:pPr>
        <w:pStyle w:val="BodyText"/>
        <w:spacing w:before="7"/>
        <w:rPr>
          <w:sz w:val="15"/>
        </w:rPr>
      </w:pPr>
    </w:p>
    <w:p>
      <w:pPr>
        <w:pStyle w:val="ListParagraph"/>
        <w:numPr>
          <w:ilvl w:val="0"/>
          <w:numId w:val="4"/>
        </w:numPr>
        <w:tabs>
          <w:tab w:pos="1374" w:val="left" w:leader="none"/>
        </w:tabs>
        <w:spacing w:line="240" w:lineRule="auto" w:before="0" w:after="0"/>
        <w:ind w:left="1374" w:right="0" w:hanging="634"/>
        <w:jc w:val="left"/>
        <w:rPr>
          <w:sz w:val="21"/>
        </w:rPr>
      </w:pPr>
      <w:r>
        <w:rPr>
          <w:spacing w:val="-4"/>
          <w:sz w:val="21"/>
        </w:rPr>
        <w:t>保险合同；</w:t>
      </w:r>
    </w:p>
    <w:p>
      <w:pPr>
        <w:pStyle w:val="BodyText"/>
        <w:spacing w:before="7"/>
        <w:rPr>
          <w:sz w:val="15"/>
        </w:rPr>
      </w:pPr>
    </w:p>
    <w:p>
      <w:pPr>
        <w:pStyle w:val="ListParagraph"/>
        <w:numPr>
          <w:ilvl w:val="0"/>
          <w:numId w:val="4"/>
        </w:numPr>
        <w:tabs>
          <w:tab w:pos="1374" w:val="left" w:leader="none"/>
        </w:tabs>
        <w:spacing w:line="240" w:lineRule="auto" w:before="0" w:after="0"/>
        <w:ind w:left="1374" w:right="0" w:hanging="634"/>
        <w:jc w:val="left"/>
        <w:rPr>
          <w:sz w:val="21"/>
        </w:rPr>
      </w:pPr>
      <w:r>
        <w:rPr>
          <w:spacing w:val="-4"/>
          <w:sz w:val="21"/>
        </w:rPr>
        <w:t>部分领取申请；</w:t>
      </w:r>
    </w:p>
    <w:p>
      <w:pPr>
        <w:pStyle w:val="ListParagraph"/>
        <w:numPr>
          <w:ilvl w:val="0"/>
          <w:numId w:val="4"/>
        </w:numPr>
        <w:tabs>
          <w:tab w:pos="1374" w:val="left" w:leader="none"/>
        </w:tabs>
        <w:spacing w:line="240" w:lineRule="auto" w:before="129" w:after="0"/>
        <w:ind w:left="1374" w:right="0" w:hanging="634"/>
        <w:jc w:val="left"/>
        <w:rPr>
          <w:sz w:val="21"/>
        </w:rPr>
      </w:pPr>
      <w:r>
        <w:rPr>
          <w:spacing w:val="-2"/>
          <w:sz w:val="21"/>
        </w:rPr>
        <w:t>您的</w:t>
      </w:r>
      <w:r>
        <w:rPr>
          <w:rFonts w:ascii="Microsoft JhengHei" w:eastAsia="Microsoft JhengHei"/>
          <w:b/>
          <w:spacing w:val="-2"/>
          <w:sz w:val="21"/>
        </w:rPr>
        <w:t>有效身份证件</w:t>
      </w:r>
      <w:r>
        <w:rPr>
          <w:spacing w:val="-2"/>
          <w:sz w:val="21"/>
        </w:rPr>
        <w:t>（</w:t>
      </w:r>
      <w:r>
        <w:rPr>
          <w:spacing w:val="-16"/>
          <w:sz w:val="21"/>
        </w:rPr>
        <w:t>释义 </w:t>
      </w:r>
      <w:r>
        <w:rPr>
          <w:rFonts w:ascii="Calibri" w:eastAsia="Calibri"/>
          <w:spacing w:val="31"/>
          <w:sz w:val="21"/>
        </w:rPr>
        <w:t>5</w:t>
      </w:r>
      <w:r>
        <w:rPr>
          <w:spacing w:val="-77"/>
          <w:sz w:val="21"/>
        </w:rPr>
        <w:t>）</w:t>
      </w:r>
      <w:r>
        <w:rPr>
          <w:spacing w:val="31"/>
          <w:sz w:val="21"/>
        </w:rPr>
        <w:t>；</w:t>
      </w:r>
    </w:p>
    <w:p>
      <w:pPr>
        <w:pStyle w:val="ListParagraph"/>
        <w:numPr>
          <w:ilvl w:val="0"/>
          <w:numId w:val="4"/>
        </w:numPr>
        <w:tabs>
          <w:tab w:pos="1341" w:val="left" w:leader="none"/>
        </w:tabs>
        <w:spacing w:line="417" w:lineRule="auto" w:before="152" w:after="0"/>
        <w:ind w:left="1371" w:right="313" w:hanging="632"/>
        <w:jc w:val="left"/>
        <w:rPr>
          <w:sz w:val="21"/>
        </w:rPr>
      </w:pPr>
      <w:r>
        <w:rPr>
          <w:spacing w:val="-2"/>
          <w:sz w:val="21"/>
        </w:rPr>
        <w:t>如果您委托他人代为申请领取时，还应提供授权委托书、受托人有效身份证件等</w:t>
      </w:r>
      <w:r>
        <w:rPr>
          <w:spacing w:val="-2"/>
          <w:sz w:val="21"/>
        </w:rPr>
        <w:t>相关证明文件；</w:t>
      </w:r>
    </w:p>
    <w:p>
      <w:pPr>
        <w:pStyle w:val="ListParagraph"/>
        <w:numPr>
          <w:ilvl w:val="0"/>
          <w:numId w:val="4"/>
        </w:numPr>
        <w:tabs>
          <w:tab w:pos="1374" w:val="left" w:leader="none"/>
        </w:tabs>
        <w:spacing w:line="269" w:lineRule="exact" w:before="0" w:after="0"/>
        <w:ind w:left="1374" w:right="0" w:hanging="634"/>
        <w:jc w:val="left"/>
        <w:rPr>
          <w:sz w:val="21"/>
        </w:rPr>
      </w:pPr>
      <w:r>
        <w:rPr>
          <w:spacing w:val="-3"/>
          <w:sz w:val="21"/>
        </w:rPr>
        <w:t>其他必要的合理的证明文件。</w:t>
      </w:r>
    </w:p>
    <w:p>
      <w:pPr>
        <w:pStyle w:val="BodyText"/>
        <w:spacing w:before="6"/>
        <w:rPr>
          <w:sz w:val="15"/>
        </w:rPr>
      </w:pPr>
    </w:p>
    <w:p>
      <w:pPr>
        <w:pStyle w:val="ListParagraph"/>
        <w:numPr>
          <w:ilvl w:val="1"/>
          <w:numId w:val="2"/>
        </w:numPr>
        <w:tabs>
          <w:tab w:pos="1161" w:val="left" w:leader="none"/>
        </w:tabs>
        <w:spacing w:line="417" w:lineRule="auto" w:before="0" w:after="0"/>
        <w:ind w:left="320" w:right="311" w:firstLine="419"/>
        <w:jc w:val="left"/>
        <w:rPr>
          <w:sz w:val="21"/>
        </w:rPr>
      </w:pPr>
      <w:r>
        <w:rPr>
          <w:spacing w:val="-10"/>
          <w:sz w:val="21"/>
        </w:rPr>
        <w:t>您部分领取个人账户价值的，每次部分领取的金额及部分领取后剩余的个人账户价</w:t>
      </w:r>
      <w:r>
        <w:rPr>
          <w:spacing w:val="-2"/>
          <w:sz w:val="21"/>
        </w:rPr>
        <w:t>值不得低于部分领取当时本公司规定的最低标准。</w:t>
      </w:r>
    </w:p>
    <w:p>
      <w:pPr>
        <w:pStyle w:val="BodyText"/>
        <w:rPr>
          <w:sz w:val="20"/>
        </w:rPr>
      </w:pPr>
    </w:p>
    <w:p>
      <w:pPr>
        <w:pStyle w:val="Heading2"/>
        <w:numPr>
          <w:ilvl w:val="0"/>
          <w:numId w:val="2"/>
        </w:numPr>
        <w:tabs>
          <w:tab w:pos="681" w:val="left" w:leader="none"/>
        </w:tabs>
        <w:spacing w:line="240" w:lineRule="auto" w:before="143" w:after="0"/>
        <w:ind w:left="680" w:right="0" w:hanging="361"/>
        <w:jc w:val="left"/>
        <w:rPr>
          <w:rFonts w:ascii="Calibri" w:eastAsia="Calibri"/>
        </w:rPr>
      </w:pPr>
      <w:bookmarkStart w:name="_bookmark19" w:id="36"/>
      <w:bookmarkEnd w:id="36"/>
      <w:r>
        <w:rPr>
          <w:b w:val="0"/>
        </w:rPr>
      </w:r>
      <w:bookmarkStart w:name="_bookmark19" w:id="37"/>
      <w:bookmarkEnd w:id="37"/>
      <w:r>
        <w:rPr>
          <w:spacing w:val="-2"/>
        </w:rPr>
        <w:t>退保及退保费用</w:t>
      </w:r>
    </w:p>
    <w:p>
      <w:pPr>
        <w:spacing w:line="355" w:lineRule="auto" w:before="151"/>
        <w:ind w:left="320" w:right="311" w:firstLine="419"/>
        <w:jc w:val="left"/>
        <w:rPr>
          <w:rFonts w:ascii="Microsoft JhengHei" w:eastAsia="Microsoft JhengHei"/>
          <w:b/>
          <w:sz w:val="21"/>
        </w:rPr>
      </w:pPr>
      <w:r>
        <w:rPr>
          <w:spacing w:val="-10"/>
          <w:sz w:val="21"/>
        </w:rPr>
        <w:t>在本合同规定的犹豫期后，您可以书面形式或我们认可的其他方式通知我们要求解除本</w:t>
      </w:r>
      <w:r>
        <w:rPr>
          <w:sz w:val="21"/>
        </w:rPr>
        <w:t>合同并向我们退还相关合同文件，即退保。</w:t>
      </w:r>
      <w:r>
        <w:rPr>
          <w:rFonts w:ascii="Microsoft JhengHei" w:eastAsia="Microsoft JhengHei"/>
          <w:b/>
          <w:spacing w:val="-1"/>
          <w:sz w:val="21"/>
        </w:rPr>
        <w:t>我们收到您以书面形式或我们认可的其他方式</w:t>
      </w:r>
    </w:p>
    <w:p>
      <w:pPr>
        <w:pStyle w:val="Heading2"/>
        <w:spacing w:line="283" w:lineRule="exact"/>
        <w:ind w:left="320" w:firstLine="0"/>
      </w:pPr>
      <w:r>
        <w:rPr>
          <w:spacing w:val="-1"/>
        </w:rPr>
        <w:t>提出解除本合同申请通知当日，本合同解除，我们将结算账户价值，按如下规定扣除退保</w:t>
      </w:r>
    </w:p>
    <w:p>
      <w:pPr>
        <w:spacing w:before="82"/>
        <w:ind w:left="320" w:right="0" w:firstLine="0"/>
        <w:jc w:val="left"/>
        <w:rPr>
          <w:rFonts w:ascii="Microsoft JhengHei" w:eastAsia="Microsoft JhengHei"/>
          <w:b/>
          <w:sz w:val="21"/>
        </w:rPr>
      </w:pPr>
      <w:r>
        <w:rPr>
          <w:rFonts w:ascii="Microsoft JhengHei" w:eastAsia="Microsoft JhengHei"/>
          <w:b/>
          <w:spacing w:val="-2"/>
          <w:sz w:val="21"/>
        </w:rPr>
        <w:t>费用后，将剩余部分（即现金价值）</w:t>
      </w:r>
      <w:r>
        <w:rPr>
          <w:rFonts w:ascii="Microsoft JhengHei" w:eastAsia="Microsoft JhengHei"/>
          <w:b/>
          <w:spacing w:val="-4"/>
          <w:sz w:val="21"/>
        </w:rPr>
        <w:t>支付给您。</w:t>
      </w:r>
    </w:p>
    <w:p>
      <w:pPr>
        <w:pStyle w:val="ListParagraph"/>
        <w:numPr>
          <w:ilvl w:val="1"/>
          <w:numId w:val="2"/>
        </w:numPr>
        <w:tabs>
          <w:tab w:pos="1161" w:val="left" w:leader="none"/>
        </w:tabs>
        <w:spacing w:line="240" w:lineRule="auto" w:before="151" w:after="0"/>
        <w:ind w:left="1160" w:right="0" w:hanging="421"/>
        <w:jc w:val="left"/>
        <w:rPr>
          <w:sz w:val="21"/>
        </w:rPr>
      </w:pPr>
      <w:r>
        <w:rPr>
          <w:spacing w:val="-3"/>
          <w:sz w:val="21"/>
        </w:rPr>
        <w:t>我们将以您的账户价值为基础收取相应的退保费用，具体的比例如下：</w:t>
      </w:r>
    </w:p>
    <w:p>
      <w:pPr>
        <w:pStyle w:val="BodyText"/>
        <w:spacing w:before="10"/>
        <w:rPr>
          <w:sz w:val="7"/>
        </w:rPr>
      </w:pPr>
    </w:p>
    <w:tbl>
      <w:tblPr>
        <w:tblW w:w="0" w:type="auto"/>
        <w:jc w:val="left"/>
        <w:tblInd w:w="11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top w:w="0" w:type="dxa"/>
          <w:left w:w="0" w:type="dxa"/>
          <w:bottom w:w="0" w:type="dxa"/>
          <w:right w:w="0" w:type="dxa"/>
        </w:tblCellMar>
        <w:tblLook w:val="01E0"/>
      </w:tblPr>
      <w:tblGrid>
        <w:gridCol w:w="1486"/>
        <w:gridCol w:w="1134"/>
        <w:gridCol w:w="1136"/>
        <w:gridCol w:w="1134"/>
        <w:gridCol w:w="1137"/>
        <w:gridCol w:w="1134"/>
        <w:gridCol w:w="1569"/>
      </w:tblGrid>
      <w:tr>
        <w:trPr>
          <w:trHeight w:val="468" w:hRule="atLeast"/>
        </w:trPr>
        <w:tc>
          <w:tcPr>
            <w:tcW w:w="1486" w:type="dxa"/>
          </w:tcPr>
          <w:p>
            <w:pPr>
              <w:pStyle w:val="TableParagraph"/>
              <w:spacing w:before="99"/>
              <w:ind w:left="107"/>
              <w:jc w:val="left"/>
              <w:rPr>
                <w:rFonts w:ascii="宋体" w:eastAsia="宋体"/>
                <w:sz w:val="21"/>
              </w:rPr>
            </w:pPr>
            <w:r>
              <w:rPr>
                <w:rFonts w:ascii="宋体" w:eastAsia="宋体"/>
                <w:spacing w:val="-4"/>
                <w:sz w:val="21"/>
              </w:rPr>
              <w:t>保单年度</w:t>
            </w:r>
          </w:p>
        </w:tc>
        <w:tc>
          <w:tcPr>
            <w:tcW w:w="1134" w:type="dxa"/>
          </w:tcPr>
          <w:p>
            <w:pPr>
              <w:pStyle w:val="TableParagraph"/>
              <w:spacing w:before="99"/>
              <w:ind w:left="233" w:right="226"/>
              <w:rPr>
                <w:rFonts w:ascii="宋体" w:eastAsia="宋体"/>
                <w:sz w:val="21"/>
              </w:rPr>
            </w:pPr>
            <w:r>
              <w:rPr>
                <w:rFonts w:ascii="宋体" w:eastAsia="宋体"/>
                <w:spacing w:val="-4"/>
                <w:sz w:val="21"/>
              </w:rPr>
              <w:t>第一年</w:t>
            </w:r>
          </w:p>
        </w:tc>
        <w:tc>
          <w:tcPr>
            <w:tcW w:w="1136" w:type="dxa"/>
          </w:tcPr>
          <w:p>
            <w:pPr>
              <w:pStyle w:val="TableParagraph"/>
              <w:spacing w:before="99"/>
              <w:ind w:left="236" w:right="232"/>
              <w:rPr>
                <w:rFonts w:ascii="宋体" w:eastAsia="宋体"/>
                <w:sz w:val="21"/>
              </w:rPr>
            </w:pPr>
            <w:r>
              <w:rPr>
                <w:rFonts w:ascii="宋体" w:eastAsia="宋体"/>
                <w:spacing w:val="-4"/>
                <w:sz w:val="21"/>
              </w:rPr>
              <w:t>第二年</w:t>
            </w:r>
          </w:p>
        </w:tc>
        <w:tc>
          <w:tcPr>
            <w:tcW w:w="1134" w:type="dxa"/>
          </w:tcPr>
          <w:p>
            <w:pPr>
              <w:pStyle w:val="TableParagraph"/>
              <w:spacing w:before="99"/>
              <w:ind w:left="233" w:right="229"/>
              <w:rPr>
                <w:rFonts w:ascii="宋体" w:eastAsia="宋体"/>
                <w:sz w:val="21"/>
              </w:rPr>
            </w:pPr>
            <w:r>
              <w:rPr>
                <w:rFonts w:ascii="宋体" w:eastAsia="宋体"/>
                <w:spacing w:val="-4"/>
                <w:sz w:val="21"/>
              </w:rPr>
              <w:t>第三年</w:t>
            </w:r>
          </w:p>
        </w:tc>
        <w:tc>
          <w:tcPr>
            <w:tcW w:w="1137" w:type="dxa"/>
          </w:tcPr>
          <w:p>
            <w:pPr>
              <w:pStyle w:val="TableParagraph"/>
              <w:spacing w:before="99"/>
              <w:ind w:left="234" w:right="234"/>
              <w:rPr>
                <w:rFonts w:ascii="宋体" w:eastAsia="宋体"/>
                <w:sz w:val="21"/>
              </w:rPr>
            </w:pPr>
            <w:r>
              <w:rPr>
                <w:rFonts w:ascii="宋体" w:eastAsia="宋体"/>
                <w:spacing w:val="-4"/>
                <w:sz w:val="21"/>
              </w:rPr>
              <w:t>第四年</w:t>
            </w:r>
          </w:p>
        </w:tc>
        <w:tc>
          <w:tcPr>
            <w:tcW w:w="1134" w:type="dxa"/>
          </w:tcPr>
          <w:p>
            <w:pPr>
              <w:pStyle w:val="TableParagraph"/>
              <w:spacing w:before="99"/>
              <w:ind w:left="229" w:right="229"/>
              <w:rPr>
                <w:rFonts w:ascii="宋体" w:eastAsia="宋体"/>
                <w:sz w:val="21"/>
              </w:rPr>
            </w:pPr>
            <w:r>
              <w:rPr>
                <w:rFonts w:ascii="宋体" w:eastAsia="宋体"/>
                <w:spacing w:val="-4"/>
                <w:sz w:val="21"/>
              </w:rPr>
              <w:t>第五年</w:t>
            </w:r>
          </w:p>
        </w:tc>
        <w:tc>
          <w:tcPr>
            <w:tcW w:w="1569" w:type="dxa"/>
          </w:tcPr>
          <w:p>
            <w:pPr>
              <w:pStyle w:val="TableParagraph"/>
              <w:spacing w:before="99"/>
              <w:ind w:left="130" w:right="131"/>
              <w:rPr>
                <w:rFonts w:ascii="宋体" w:eastAsia="宋体"/>
                <w:sz w:val="21"/>
              </w:rPr>
            </w:pPr>
            <w:r>
              <w:rPr>
                <w:rFonts w:ascii="宋体" w:eastAsia="宋体"/>
                <w:spacing w:val="-4"/>
                <w:sz w:val="21"/>
              </w:rPr>
              <w:t>第六年及以后</w:t>
            </w:r>
          </w:p>
        </w:tc>
      </w:tr>
      <w:tr>
        <w:trPr>
          <w:trHeight w:val="467" w:hRule="atLeast"/>
        </w:trPr>
        <w:tc>
          <w:tcPr>
            <w:tcW w:w="1486" w:type="dxa"/>
          </w:tcPr>
          <w:p>
            <w:pPr>
              <w:pStyle w:val="TableParagraph"/>
              <w:spacing w:before="99"/>
              <w:ind w:left="107"/>
              <w:jc w:val="left"/>
              <w:rPr>
                <w:rFonts w:ascii="宋体" w:eastAsia="宋体"/>
                <w:sz w:val="21"/>
              </w:rPr>
            </w:pPr>
            <w:r>
              <w:rPr>
                <w:rFonts w:ascii="宋体" w:eastAsia="宋体"/>
                <w:spacing w:val="-4"/>
                <w:sz w:val="21"/>
              </w:rPr>
              <w:t>退保费用比例</w:t>
            </w:r>
          </w:p>
        </w:tc>
        <w:tc>
          <w:tcPr>
            <w:tcW w:w="1134" w:type="dxa"/>
          </w:tcPr>
          <w:p>
            <w:pPr>
              <w:pStyle w:val="TableParagraph"/>
              <w:spacing w:before="104"/>
              <w:ind w:left="233" w:right="226"/>
              <w:rPr>
                <w:sz w:val="21"/>
              </w:rPr>
            </w:pPr>
            <w:r>
              <w:rPr>
                <w:spacing w:val="-5"/>
                <w:sz w:val="21"/>
              </w:rPr>
              <w:t>3%</w:t>
            </w:r>
          </w:p>
        </w:tc>
        <w:tc>
          <w:tcPr>
            <w:tcW w:w="1136" w:type="dxa"/>
          </w:tcPr>
          <w:p>
            <w:pPr>
              <w:pStyle w:val="TableParagraph"/>
              <w:spacing w:before="104"/>
              <w:ind w:left="236" w:right="232"/>
              <w:rPr>
                <w:sz w:val="21"/>
              </w:rPr>
            </w:pPr>
            <w:r>
              <w:rPr>
                <w:spacing w:val="-5"/>
                <w:sz w:val="21"/>
              </w:rPr>
              <w:t>3%</w:t>
            </w:r>
          </w:p>
        </w:tc>
        <w:tc>
          <w:tcPr>
            <w:tcW w:w="1134" w:type="dxa"/>
          </w:tcPr>
          <w:p>
            <w:pPr>
              <w:pStyle w:val="TableParagraph"/>
              <w:spacing w:before="104"/>
              <w:ind w:left="233" w:right="229"/>
              <w:rPr>
                <w:sz w:val="21"/>
              </w:rPr>
            </w:pPr>
            <w:r>
              <w:rPr>
                <w:spacing w:val="-5"/>
                <w:sz w:val="21"/>
              </w:rPr>
              <w:t>2%</w:t>
            </w:r>
          </w:p>
        </w:tc>
        <w:tc>
          <w:tcPr>
            <w:tcW w:w="1137" w:type="dxa"/>
          </w:tcPr>
          <w:p>
            <w:pPr>
              <w:pStyle w:val="TableParagraph"/>
              <w:spacing w:before="104"/>
              <w:ind w:left="234" w:right="234"/>
              <w:rPr>
                <w:sz w:val="21"/>
              </w:rPr>
            </w:pPr>
            <w:r>
              <w:rPr>
                <w:spacing w:val="-5"/>
                <w:sz w:val="21"/>
              </w:rPr>
              <w:t>2%</w:t>
            </w:r>
          </w:p>
        </w:tc>
        <w:tc>
          <w:tcPr>
            <w:tcW w:w="1134" w:type="dxa"/>
          </w:tcPr>
          <w:p>
            <w:pPr>
              <w:pStyle w:val="TableParagraph"/>
              <w:spacing w:before="104"/>
              <w:ind w:left="229" w:right="229"/>
              <w:rPr>
                <w:sz w:val="21"/>
              </w:rPr>
            </w:pPr>
            <w:r>
              <w:rPr>
                <w:spacing w:val="-5"/>
                <w:sz w:val="21"/>
              </w:rPr>
              <w:t>1%</w:t>
            </w:r>
          </w:p>
        </w:tc>
        <w:tc>
          <w:tcPr>
            <w:tcW w:w="1569" w:type="dxa"/>
          </w:tcPr>
          <w:p>
            <w:pPr>
              <w:pStyle w:val="TableParagraph"/>
              <w:spacing w:before="104"/>
              <w:ind w:left="131" w:right="131"/>
              <w:rPr>
                <w:sz w:val="21"/>
              </w:rPr>
            </w:pPr>
            <w:r>
              <w:rPr>
                <w:spacing w:val="-5"/>
                <w:sz w:val="21"/>
              </w:rPr>
              <w:t>0%</w:t>
            </w:r>
          </w:p>
        </w:tc>
      </w:tr>
    </w:tbl>
    <w:p>
      <w:pPr>
        <w:pStyle w:val="ListParagraph"/>
        <w:numPr>
          <w:ilvl w:val="1"/>
          <w:numId w:val="2"/>
        </w:numPr>
        <w:tabs>
          <w:tab w:pos="1161" w:val="left" w:leader="none"/>
        </w:tabs>
        <w:spacing w:line="240" w:lineRule="auto" w:before="100" w:after="0"/>
        <w:ind w:left="1160" w:right="0" w:hanging="421"/>
        <w:jc w:val="left"/>
        <w:rPr>
          <w:sz w:val="21"/>
        </w:rPr>
      </w:pPr>
      <w:r>
        <w:rPr>
          <w:spacing w:val="-3"/>
          <w:sz w:val="21"/>
        </w:rPr>
        <w:t>您要求退保时，应向我们提供下列证明和资料：</w:t>
      </w:r>
    </w:p>
    <w:p>
      <w:pPr>
        <w:pStyle w:val="BodyText"/>
        <w:spacing w:before="6"/>
        <w:rPr>
          <w:sz w:val="15"/>
        </w:rPr>
      </w:pPr>
    </w:p>
    <w:p>
      <w:pPr>
        <w:pStyle w:val="ListParagraph"/>
        <w:numPr>
          <w:ilvl w:val="0"/>
          <w:numId w:val="5"/>
        </w:numPr>
        <w:tabs>
          <w:tab w:pos="1374" w:val="left" w:leader="none"/>
        </w:tabs>
        <w:spacing w:line="240" w:lineRule="auto" w:before="0" w:after="0"/>
        <w:ind w:left="1374" w:right="0" w:hanging="634"/>
        <w:jc w:val="left"/>
        <w:rPr>
          <w:sz w:val="21"/>
        </w:rPr>
      </w:pPr>
      <w:r>
        <w:rPr>
          <w:spacing w:val="-4"/>
          <w:sz w:val="21"/>
        </w:rPr>
        <w:t>保险合同；</w:t>
      </w:r>
    </w:p>
    <w:p>
      <w:pPr>
        <w:pStyle w:val="BodyText"/>
        <w:spacing w:before="7"/>
        <w:rPr>
          <w:sz w:val="15"/>
        </w:rPr>
      </w:pPr>
    </w:p>
    <w:p>
      <w:pPr>
        <w:pStyle w:val="ListParagraph"/>
        <w:numPr>
          <w:ilvl w:val="0"/>
          <w:numId w:val="5"/>
        </w:numPr>
        <w:tabs>
          <w:tab w:pos="1374" w:val="left" w:leader="none"/>
        </w:tabs>
        <w:spacing w:line="240" w:lineRule="auto" w:before="0" w:after="0"/>
        <w:ind w:left="1374" w:right="0" w:hanging="634"/>
        <w:jc w:val="left"/>
        <w:rPr>
          <w:sz w:val="21"/>
        </w:rPr>
      </w:pPr>
      <w:r>
        <w:rPr>
          <w:spacing w:val="-4"/>
          <w:sz w:val="21"/>
        </w:rPr>
        <w:t>退保申请；</w:t>
      </w:r>
    </w:p>
    <w:p>
      <w:pPr>
        <w:pStyle w:val="BodyText"/>
        <w:spacing w:before="7"/>
        <w:rPr>
          <w:sz w:val="15"/>
        </w:rPr>
      </w:pPr>
    </w:p>
    <w:p>
      <w:pPr>
        <w:pStyle w:val="ListParagraph"/>
        <w:numPr>
          <w:ilvl w:val="0"/>
          <w:numId w:val="5"/>
        </w:numPr>
        <w:tabs>
          <w:tab w:pos="1374" w:val="left" w:leader="none"/>
        </w:tabs>
        <w:spacing w:line="240" w:lineRule="auto" w:before="0" w:after="0"/>
        <w:ind w:left="1374" w:right="0" w:hanging="634"/>
        <w:jc w:val="left"/>
        <w:rPr>
          <w:sz w:val="21"/>
        </w:rPr>
      </w:pPr>
      <w:r>
        <w:rPr>
          <w:spacing w:val="-3"/>
          <w:sz w:val="21"/>
        </w:rPr>
        <w:t>您的有效身份证件；</w:t>
      </w:r>
    </w:p>
    <w:p>
      <w:pPr>
        <w:pStyle w:val="BodyText"/>
        <w:spacing w:before="6"/>
        <w:rPr>
          <w:sz w:val="15"/>
        </w:rPr>
      </w:pPr>
    </w:p>
    <w:p>
      <w:pPr>
        <w:pStyle w:val="ListParagraph"/>
        <w:numPr>
          <w:ilvl w:val="0"/>
          <w:numId w:val="5"/>
        </w:numPr>
        <w:tabs>
          <w:tab w:pos="1341" w:val="left" w:leader="none"/>
        </w:tabs>
        <w:spacing w:line="417" w:lineRule="auto" w:before="1" w:after="0"/>
        <w:ind w:left="1371" w:right="313" w:hanging="632"/>
        <w:jc w:val="left"/>
        <w:rPr>
          <w:sz w:val="21"/>
        </w:rPr>
      </w:pPr>
      <w:r>
        <w:rPr>
          <w:spacing w:val="-2"/>
          <w:sz w:val="21"/>
        </w:rPr>
        <w:t>如果您委托他人代为申请领取时，还应提供授权委托书、受托人有效身份证件等</w:t>
      </w:r>
      <w:r>
        <w:rPr>
          <w:spacing w:val="-2"/>
          <w:sz w:val="21"/>
        </w:rPr>
        <w:t>相关证明文件；</w:t>
      </w:r>
    </w:p>
    <w:p>
      <w:pPr>
        <w:pStyle w:val="ListParagraph"/>
        <w:numPr>
          <w:ilvl w:val="0"/>
          <w:numId w:val="5"/>
        </w:numPr>
        <w:tabs>
          <w:tab w:pos="1374" w:val="left" w:leader="none"/>
        </w:tabs>
        <w:spacing w:line="355" w:lineRule="auto" w:before="0" w:after="0"/>
        <w:ind w:left="742" w:right="4827" w:hanging="3"/>
        <w:jc w:val="left"/>
        <w:rPr>
          <w:rFonts w:ascii="Microsoft JhengHei" w:eastAsia="Microsoft JhengHei"/>
          <w:b/>
          <w:sz w:val="21"/>
        </w:rPr>
      </w:pPr>
      <w:r>
        <w:rPr>
          <w:spacing w:val="-2"/>
          <w:sz w:val="21"/>
        </w:rPr>
        <w:t>其他必要的合理的证明文件。</w:t>
      </w:r>
      <w:r>
        <w:rPr>
          <w:rFonts w:ascii="Microsoft JhengHei" w:eastAsia="Microsoft JhengHei"/>
          <w:b/>
          <w:spacing w:val="-2"/>
          <w:sz w:val="21"/>
        </w:rPr>
        <w:t>您在犹豫期后退保会遭受一定损失。</w:t>
      </w:r>
    </w:p>
    <w:p>
      <w:pPr>
        <w:pStyle w:val="BodyText"/>
        <w:spacing w:before="15"/>
        <w:rPr>
          <w:rFonts w:ascii="Microsoft JhengHei"/>
          <w:b/>
          <w:sz w:val="19"/>
        </w:rPr>
      </w:pPr>
    </w:p>
    <w:p>
      <w:pPr>
        <w:pStyle w:val="Heading2"/>
        <w:numPr>
          <w:ilvl w:val="0"/>
          <w:numId w:val="2"/>
        </w:numPr>
        <w:tabs>
          <w:tab w:pos="681" w:val="left" w:leader="none"/>
        </w:tabs>
        <w:spacing w:line="240" w:lineRule="auto" w:before="0" w:after="0"/>
        <w:ind w:left="680" w:right="0" w:hanging="361"/>
        <w:jc w:val="left"/>
        <w:rPr>
          <w:rFonts w:ascii="Calibri" w:eastAsia="Calibri"/>
        </w:rPr>
      </w:pPr>
      <w:bookmarkStart w:name="_bookmark20" w:id="38"/>
      <w:bookmarkEnd w:id="38"/>
      <w:r>
        <w:rPr>
          <w:b w:val="0"/>
        </w:rPr>
      </w:r>
      <w:bookmarkStart w:name="_bookmark20" w:id="39"/>
      <w:bookmarkEnd w:id="39"/>
      <w:r>
        <w:rPr>
          <w:spacing w:val="-3"/>
        </w:rPr>
        <w:t>款项返还</w:t>
      </w:r>
    </w:p>
    <w:p>
      <w:pPr>
        <w:pStyle w:val="BodyText"/>
        <w:spacing w:before="152"/>
        <w:ind w:left="733"/>
      </w:pPr>
      <w:r>
        <w:rPr>
          <w:spacing w:val="-5"/>
        </w:rPr>
        <w:t>本合同中所提及的各种款项的返还，包括犹豫期内撤销本合同、犹豫期后部分领取、退</w:t>
      </w:r>
    </w:p>
    <w:p>
      <w:pPr>
        <w:spacing w:after="0"/>
        <w:sectPr>
          <w:pgSz w:w="11910" w:h="16840"/>
          <w:pgMar w:header="0" w:footer="1005" w:top="1460" w:bottom="1200" w:left="1480" w:right="1480"/>
        </w:sectPr>
      </w:pPr>
    </w:p>
    <w:p>
      <w:pPr>
        <w:pStyle w:val="BodyText"/>
        <w:spacing w:before="61"/>
        <w:ind w:left="320"/>
      </w:pPr>
      <w:r>
        <w:rPr>
          <w:spacing w:val="-3"/>
        </w:rPr>
        <w:t>保等，除非双方另有约定，否则均将返还至您原交纳保险费的账户。</w:t>
      </w:r>
    </w:p>
    <w:p>
      <w:pPr>
        <w:pStyle w:val="BodyText"/>
        <w:rPr>
          <w:sz w:val="20"/>
        </w:rPr>
      </w:pPr>
    </w:p>
    <w:p>
      <w:pPr>
        <w:pStyle w:val="BodyText"/>
        <w:spacing w:before="8"/>
        <w:rPr>
          <w:sz w:val="26"/>
        </w:rPr>
      </w:pPr>
    </w:p>
    <w:p>
      <w:pPr>
        <w:pStyle w:val="Heading2"/>
        <w:numPr>
          <w:ilvl w:val="0"/>
          <w:numId w:val="2"/>
        </w:numPr>
        <w:tabs>
          <w:tab w:pos="681" w:val="left" w:leader="none"/>
        </w:tabs>
        <w:spacing w:line="240" w:lineRule="auto" w:before="1" w:after="0"/>
        <w:ind w:left="680" w:right="0" w:hanging="361"/>
        <w:jc w:val="left"/>
        <w:rPr>
          <w:rFonts w:ascii="Calibri" w:eastAsia="Calibri"/>
        </w:rPr>
      </w:pPr>
      <w:bookmarkStart w:name="_bookmark21" w:id="40"/>
      <w:bookmarkEnd w:id="40"/>
      <w:r>
        <w:rPr>
          <w:b w:val="0"/>
        </w:rPr>
      </w:r>
      <w:bookmarkStart w:name="_bookmark21" w:id="41"/>
      <w:bookmarkEnd w:id="41"/>
      <w:r>
        <w:rPr>
          <w:spacing w:val="-3"/>
        </w:rPr>
        <w:t>账户价值</w:t>
      </w:r>
    </w:p>
    <w:p>
      <w:pPr>
        <w:pStyle w:val="BodyText"/>
        <w:spacing w:before="151"/>
        <w:ind w:left="740"/>
      </w:pPr>
      <w:r>
        <w:rPr>
          <w:spacing w:val="-3"/>
        </w:rPr>
        <w:t>在本合同有效期间内，保单账户价值按如下方法计算：</w:t>
      </w:r>
    </w:p>
    <w:p>
      <w:pPr>
        <w:pStyle w:val="BodyText"/>
        <w:spacing w:before="6"/>
        <w:rPr>
          <w:sz w:val="15"/>
        </w:rPr>
      </w:pPr>
    </w:p>
    <w:p>
      <w:pPr>
        <w:pStyle w:val="ListParagraph"/>
        <w:numPr>
          <w:ilvl w:val="0"/>
          <w:numId w:val="6"/>
        </w:numPr>
        <w:tabs>
          <w:tab w:pos="1314" w:val="left" w:leader="none"/>
        </w:tabs>
        <w:spacing w:line="240" w:lineRule="auto" w:before="0" w:after="0"/>
        <w:ind w:left="1314" w:right="0" w:hanging="567"/>
        <w:jc w:val="left"/>
        <w:rPr>
          <w:sz w:val="21"/>
        </w:rPr>
      </w:pPr>
      <w:r>
        <w:rPr>
          <w:spacing w:val="-3"/>
          <w:sz w:val="21"/>
        </w:rPr>
        <w:t>账户建立时，您的初始账户价值等于您交纳的保险费扣除初始费用后的余额；</w:t>
      </w:r>
    </w:p>
    <w:p>
      <w:pPr>
        <w:pStyle w:val="BodyText"/>
        <w:spacing w:before="7"/>
        <w:rPr>
          <w:sz w:val="15"/>
        </w:rPr>
      </w:pPr>
    </w:p>
    <w:p>
      <w:pPr>
        <w:pStyle w:val="ListParagraph"/>
        <w:numPr>
          <w:ilvl w:val="0"/>
          <w:numId w:val="6"/>
        </w:numPr>
        <w:tabs>
          <w:tab w:pos="1314" w:val="left" w:leader="none"/>
        </w:tabs>
        <w:spacing w:line="240" w:lineRule="auto" w:before="0" w:after="0"/>
        <w:ind w:left="1314" w:right="0" w:hanging="567"/>
        <w:jc w:val="left"/>
        <w:rPr>
          <w:sz w:val="21"/>
        </w:rPr>
      </w:pPr>
      <w:r>
        <w:rPr>
          <w:spacing w:val="-3"/>
          <w:sz w:val="21"/>
        </w:rPr>
        <w:t>扣除风险保险费后，您的账户价值按所扣除的风险保险费相应减少；</w:t>
      </w:r>
    </w:p>
    <w:p>
      <w:pPr>
        <w:pStyle w:val="BodyText"/>
        <w:spacing w:before="7"/>
        <w:rPr>
          <w:sz w:val="15"/>
        </w:rPr>
      </w:pPr>
    </w:p>
    <w:p>
      <w:pPr>
        <w:pStyle w:val="ListParagraph"/>
        <w:numPr>
          <w:ilvl w:val="0"/>
          <w:numId w:val="6"/>
        </w:numPr>
        <w:tabs>
          <w:tab w:pos="1314" w:val="left" w:leader="none"/>
        </w:tabs>
        <w:spacing w:line="417" w:lineRule="auto" w:before="0" w:after="0"/>
        <w:ind w:left="1313" w:right="311" w:hanging="569"/>
        <w:jc w:val="left"/>
        <w:rPr>
          <w:sz w:val="21"/>
        </w:rPr>
      </w:pPr>
      <w:r>
        <w:rPr>
          <w:spacing w:val="-2"/>
          <w:sz w:val="21"/>
        </w:rPr>
        <w:t>交纳追加保险费后，您的账户价值按您所交纳的追加保险费扣除初始费用后的余</w:t>
      </w:r>
      <w:r>
        <w:rPr>
          <w:spacing w:val="-2"/>
          <w:sz w:val="21"/>
        </w:rPr>
        <w:t>额相应增加；</w:t>
      </w:r>
    </w:p>
    <w:p>
      <w:pPr>
        <w:pStyle w:val="ListParagraph"/>
        <w:numPr>
          <w:ilvl w:val="0"/>
          <w:numId w:val="6"/>
        </w:numPr>
        <w:tabs>
          <w:tab w:pos="1314" w:val="left" w:leader="none"/>
        </w:tabs>
        <w:spacing w:line="417" w:lineRule="auto" w:before="0" w:after="0"/>
        <w:ind w:left="1313" w:right="311" w:hanging="569"/>
        <w:jc w:val="left"/>
        <w:rPr>
          <w:sz w:val="21"/>
        </w:rPr>
      </w:pPr>
      <w:r>
        <w:rPr>
          <w:spacing w:val="-2"/>
          <w:sz w:val="21"/>
        </w:rPr>
        <w:t>交纳转入保险费后，您的账户价值按您所交纳的转入保险费扣除初始费用后的余</w:t>
      </w:r>
      <w:r>
        <w:rPr>
          <w:spacing w:val="-2"/>
          <w:sz w:val="21"/>
        </w:rPr>
        <w:t>额相应增加；</w:t>
      </w:r>
    </w:p>
    <w:p>
      <w:pPr>
        <w:pStyle w:val="ListParagraph"/>
        <w:numPr>
          <w:ilvl w:val="0"/>
          <w:numId w:val="6"/>
        </w:numPr>
        <w:tabs>
          <w:tab w:pos="1314" w:val="left" w:leader="none"/>
        </w:tabs>
        <w:spacing w:line="240" w:lineRule="auto" w:before="0" w:after="0"/>
        <w:ind w:left="1314" w:right="0" w:hanging="569"/>
        <w:jc w:val="left"/>
        <w:rPr>
          <w:sz w:val="21"/>
        </w:rPr>
      </w:pPr>
      <w:r>
        <w:rPr>
          <w:spacing w:val="-3"/>
          <w:sz w:val="21"/>
        </w:rPr>
        <w:t>发放持续奖金后，您的账户价值按实际发放的持续奖金相应增加；</w:t>
      </w:r>
    </w:p>
    <w:p>
      <w:pPr>
        <w:pStyle w:val="BodyText"/>
        <w:spacing w:before="6"/>
        <w:rPr>
          <w:sz w:val="15"/>
        </w:rPr>
      </w:pPr>
    </w:p>
    <w:p>
      <w:pPr>
        <w:pStyle w:val="ListParagraph"/>
        <w:numPr>
          <w:ilvl w:val="0"/>
          <w:numId w:val="6"/>
        </w:numPr>
        <w:tabs>
          <w:tab w:pos="1314" w:val="left" w:leader="none"/>
        </w:tabs>
        <w:spacing w:line="417" w:lineRule="auto" w:before="1" w:after="0"/>
        <w:ind w:left="1313" w:right="311" w:hanging="569"/>
        <w:jc w:val="left"/>
        <w:rPr>
          <w:sz w:val="21"/>
        </w:rPr>
      </w:pPr>
      <w:r>
        <w:rPr>
          <w:spacing w:val="-2"/>
          <w:sz w:val="21"/>
        </w:rPr>
        <w:t>部分领取账户价值后，您的账户价值按实际领取的金额及部分领取手续费相应减</w:t>
      </w:r>
      <w:r>
        <w:rPr>
          <w:spacing w:val="-6"/>
          <w:sz w:val="21"/>
        </w:rPr>
        <w:t>少；</w:t>
      </w:r>
    </w:p>
    <w:p>
      <w:pPr>
        <w:pStyle w:val="ListParagraph"/>
        <w:numPr>
          <w:ilvl w:val="0"/>
          <w:numId w:val="6"/>
        </w:numPr>
        <w:tabs>
          <w:tab w:pos="1314" w:val="left" w:leader="none"/>
        </w:tabs>
        <w:spacing w:line="269" w:lineRule="exact" w:before="0" w:after="0"/>
        <w:ind w:left="1314" w:right="0" w:hanging="567"/>
        <w:jc w:val="left"/>
        <w:rPr>
          <w:sz w:val="21"/>
        </w:rPr>
      </w:pPr>
      <w:r>
        <w:rPr>
          <w:spacing w:val="-3"/>
          <w:sz w:val="21"/>
        </w:rPr>
        <w:t>我们结算您的账户利息后，账户利息计入您的账户价值。</w:t>
      </w:r>
    </w:p>
    <w:p>
      <w:pPr>
        <w:pStyle w:val="BodyText"/>
        <w:rPr>
          <w:sz w:val="22"/>
        </w:rPr>
      </w:pPr>
    </w:p>
    <w:p>
      <w:pPr>
        <w:pStyle w:val="BodyText"/>
        <w:spacing w:before="5"/>
        <w:rPr>
          <w:sz w:val="25"/>
        </w:rPr>
      </w:pPr>
    </w:p>
    <w:p>
      <w:pPr>
        <w:pStyle w:val="Heading1"/>
        <w:tabs>
          <w:tab w:pos="841" w:val="left" w:leader="none"/>
        </w:tabs>
      </w:pPr>
      <w:bookmarkStart w:name="_bookmark22" w:id="42"/>
      <w:bookmarkEnd w:id="42"/>
      <w:r>
        <w:rPr>
          <w:b w:val="0"/>
        </w:rPr>
      </w:r>
      <w:r>
        <w:rPr/>
        <w:t>四</w:t>
      </w:r>
      <w:r>
        <w:rPr>
          <w:spacing w:val="-10"/>
        </w:rPr>
        <w:t>、</w:t>
      </w:r>
      <w:r>
        <w:rPr/>
        <w:tab/>
        <w:t>保障条</w:t>
      </w:r>
      <w:r>
        <w:rPr>
          <w:spacing w:val="-10"/>
        </w:rPr>
        <w:t>款</w:t>
      </w:r>
    </w:p>
    <w:p>
      <w:pPr>
        <w:pStyle w:val="BodyText"/>
        <w:spacing w:before="16"/>
        <w:rPr>
          <w:rFonts w:ascii="Microsoft JhengHei"/>
          <w:b/>
          <w:sz w:val="30"/>
        </w:rPr>
      </w:pPr>
    </w:p>
    <w:p>
      <w:pPr>
        <w:pStyle w:val="Heading2"/>
        <w:numPr>
          <w:ilvl w:val="0"/>
          <w:numId w:val="2"/>
        </w:numPr>
        <w:tabs>
          <w:tab w:pos="681" w:val="left" w:leader="none"/>
        </w:tabs>
        <w:spacing w:line="240" w:lineRule="auto" w:before="0" w:after="0"/>
        <w:ind w:left="680" w:right="0" w:hanging="361"/>
        <w:jc w:val="left"/>
        <w:rPr>
          <w:rFonts w:ascii="Calibri" w:eastAsia="Calibri"/>
        </w:rPr>
      </w:pPr>
      <w:bookmarkStart w:name="_bookmark23" w:id="43"/>
      <w:bookmarkEnd w:id="43"/>
      <w:r>
        <w:rPr>
          <w:b w:val="0"/>
        </w:rPr>
      </w:r>
      <w:bookmarkStart w:name="_bookmark23" w:id="44"/>
      <w:bookmarkEnd w:id="44"/>
      <w:r>
        <w:rPr>
          <w:spacing w:val="-3"/>
        </w:rPr>
        <w:t>保险金额</w:t>
      </w:r>
    </w:p>
    <w:p>
      <w:pPr>
        <w:pStyle w:val="ListParagraph"/>
        <w:numPr>
          <w:ilvl w:val="1"/>
          <w:numId w:val="2"/>
        </w:numPr>
        <w:tabs>
          <w:tab w:pos="1161" w:val="left" w:leader="none"/>
        </w:tabs>
        <w:spacing w:line="240" w:lineRule="auto" w:before="151" w:after="0"/>
        <w:ind w:left="1160" w:right="0" w:hanging="421"/>
        <w:jc w:val="left"/>
        <w:rPr>
          <w:sz w:val="21"/>
        </w:rPr>
      </w:pPr>
      <w:r>
        <w:rPr>
          <w:spacing w:val="-4"/>
          <w:sz w:val="21"/>
        </w:rPr>
        <w:t>保险金额</w:t>
      </w:r>
    </w:p>
    <w:p>
      <w:pPr>
        <w:pStyle w:val="BodyText"/>
        <w:spacing w:before="7"/>
        <w:rPr>
          <w:sz w:val="15"/>
        </w:rPr>
      </w:pPr>
    </w:p>
    <w:p>
      <w:pPr>
        <w:pStyle w:val="BodyText"/>
        <w:ind w:left="740"/>
      </w:pPr>
      <w:r>
        <w:rPr>
          <w:spacing w:val="-3"/>
        </w:rPr>
        <w:t>保险金额为本合同项下我们承担赔偿或者给付保险金责任的最高限额。</w:t>
      </w:r>
    </w:p>
    <w:p>
      <w:pPr>
        <w:pStyle w:val="BodyText"/>
        <w:spacing w:before="6"/>
        <w:rPr>
          <w:sz w:val="15"/>
        </w:rPr>
      </w:pPr>
    </w:p>
    <w:p>
      <w:pPr>
        <w:pStyle w:val="ListParagraph"/>
        <w:numPr>
          <w:ilvl w:val="1"/>
          <w:numId w:val="2"/>
        </w:numPr>
        <w:tabs>
          <w:tab w:pos="1161" w:val="left" w:leader="none"/>
        </w:tabs>
        <w:spacing w:line="240" w:lineRule="auto" w:before="1" w:after="0"/>
        <w:ind w:left="1160" w:right="0" w:hanging="421"/>
        <w:jc w:val="left"/>
        <w:rPr>
          <w:sz w:val="21"/>
        </w:rPr>
      </w:pPr>
      <w:r>
        <w:rPr>
          <w:spacing w:val="-4"/>
          <w:sz w:val="21"/>
        </w:rPr>
        <w:t>基本保险金额</w:t>
      </w:r>
    </w:p>
    <w:p>
      <w:pPr>
        <w:pStyle w:val="BodyText"/>
        <w:spacing w:before="6"/>
        <w:rPr>
          <w:sz w:val="15"/>
        </w:rPr>
      </w:pPr>
    </w:p>
    <w:p>
      <w:pPr>
        <w:pStyle w:val="BodyText"/>
        <w:spacing w:line="417" w:lineRule="auto"/>
        <w:ind w:left="320" w:right="208" w:firstLine="419"/>
      </w:pPr>
      <w:r>
        <w:rPr>
          <w:spacing w:val="-11"/>
        </w:rPr>
        <w:t>本合同的基本保险金额等于保单账户价值，并随交纳保险费、结算账户利息、部分领取、</w:t>
      </w:r>
      <w:r>
        <w:rPr>
          <w:spacing w:val="-2"/>
        </w:rPr>
        <w:t>持续奖金等导致的保单账户价值变动而同步变动，具体详见前条规定。</w:t>
      </w:r>
    </w:p>
    <w:p>
      <w:pPr>
        <w:pStyle w:val="BodyText"/>
        <w:rPr>
          <w:sz w:val="20"/>
        </w:rPr>
      </w:pPr>
    </w:p>
    <w:p>
      <w:pPr>
        <w:pStyle w:val="Heading2"/>
        <w:numPr>
          <w:ilvl w:val="0"/>
          <w:numId w:val="2"/>
        </w:numPr>
        <w:tabs>
          <w:tab w:pos="681" w:val="left" w:leader="none"/>
        </w:tabs>
        <w:spacing w:line="240" w:lineRule="auto" w:before="143" w:after="0"/>
        <w:ind w:left="680" w:right="0" w:hanging="361"/>
        <w:jc w:val="left"/>
        <w:rPr>
          <w:rFonts w:ascii="Calibri" w:eastAsia="Calibri"/>
        </w:rPr>
      </w:pPr>
      <w:bookmarkStart w:name="_bookmark24" w:id="45"/>
      <w:bookmarkEnd w:id="45"/>
      <w:r>
        <w:rPr>
          <w:b w:val="0"/>
        </w:rPr>
      </w:r>
      <w:bookmarkStart w:name="_bookmark24" w:id="46"/>
      <w:bookmarkEnd w:id="46"/>
      <w:r>
        <w:rPr>
          <w:spacing w:val="-3"/>
        </w:rPr>
        <w:t>保险责任</w:t>
      </w:r>
    </w:p>
    <w:p>
      <w:pPr>
        <w:pStyle w:val="BodyText"/>
        <w:spacing w:before="151"/>
        <w:ind w:left="740"/>
      </w:pPr>
      <w:r>
        <w:rPr>
          <w:spacing w:val="-3"/>
        </w:rPr>
        <w:t>在本合同有效期内，我们承担以下保险责任：</w:t>
      </w:r>
    </w:p>
    <w:p>
      <w:pPr>
        <w:pStyle w:val="BodyText"/>
        <w:spacing w:before="7"/>
        <w:rPr>
          <w:sz w:val="15"/>
        </w:rPr>
      </w:pPr>
    </w:p>
    <w:p>
      <w:pPr>
        <w:pStyle w:val="ListParagraph"/>
        <w:numPr>
          <w:ilvl w:val="1"/>
          <w:numId w:val="2"/>
        </w:numPr>
        <w:tabs>
          <w:tab w:pos="1266" w:val="left" w:leader="none"/>
        </w:tabs>
        <w:spacing w:line="240" w:lineRule="auto" w:before="0" w:after="0"/>
        <w:ind w:left="1266" w:right="0" w:hanging="526"/>
        <w:jc w:val="left"/>
        <w:rPr>
          <w:sz w:val="21"/>
        </w:rPr>
      </w:pPr>
      <w:r>
        <w:rPr>
          <w:spacing w:val="-4"/>
          <w:sz w:val="21"/>
        </w:rPr>
        <w:t>身故保险金</w:t>
      </w:r>
    </w:p>
    <w:p>
      <w:pPr>
        <w:pStyle w:val="BodyText"/>
        <w:spacing w:before="6"/>
        <w:rPr>
          <w:sz w:val="15"/>
        </w:rPr>
      </w:pPr>
    </w:p>
    <w:p>
      <w:pPr>
        <w:pStyle w:val="BodyText"/>
        <w:spacing w:line="417" w:lineRule="auto" w:before="1"/>
        <w:ind w:left="320" w:right="311" w:firstLine="412"/>
      </w:pPr>
      <w:r>
        <w:rPr>
          <w:spacing w:val="-11"/>
        </w:rPr>
        <w:t>若被保险人身故，我们按被保险人身故时本合同的基本保险金额乘以下列比例表对应的</w:t>
      </w:r>
      <w:r>
        <w:rPr>
          <w:spacing w:val="-2"/>
        </w:rPr>
        <w:t>比例给付身故保险金，给付后账户价值为零，同时本合同效力终止：</w:t>
      </w:r>
    </w:p>
    <w:p>
      <w:pPr>
        <w:spacing w:after="0" w:line="417" w:lineRule="auto"/>
        <w:sectPr>
          <w:pgSz w:w="11910" w:h="16840"/>
          <w:pgMar w:header="0" w:footer="1005" w:top="1460" w:bottom="1200" w:left="1480" w:right="1480"/>
        </w:sectPr>
      </w:pPr>
    </w:p>
    <w:p>
      <w:pPr>
        <w:pStyle w:val="BodyText"/>
        <w:spacing w:before="61"/>
        <w:ind w:left="733"/>
      </w:pPr>
      <w:r>
        <w:rPr>
          <w:spacing w:val="-4"/>
        </w:rPr>
        <w:t>比例表：</w:t>
      </w:r>
    </w:p>
    <w:p>
      <w:pPr>
        <w:pStyle w:val="BodyText"/>
        <w:spacing w:before="10"/>
        <w:rPr>
          <w:sz w:val="7"/>
        </w:rPr>
      </w:pPr>
    </w:p>
    <w:tbl>
      <w:tblPr>
        <w:tblW w:w="0" w:type="auto"/>
        <w:jc w:val="left"/>
        <w:tblInd w:w="21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top w:w="0" w:type="dxa"/>
          <w:left w:w="0" w:type="dxa"/>
          <w:bottom w:w="0" w:type="dxa"/>
          <w:right w:w="0" w:type="dxa"/>
        </w:tblCellMar>
        <w:tblLook w:val="01E0"/>
      </w:tblPr>
      <w:tblGrid>
        <w:gridCol w:w="4261"/>
        <w:gridCol w:w="4264"/>
      </w:tblGrid>
      <w:tr>
        <w:trPr>
          <w:trHeight w:val="359" w:hRule="atLeast"/>
        </w:trPr>
        <w:tc>
          <w:tcPr>
            <w:tcW w:w="4261" w:type="dxa"/>
          </w:tcPr>
          <w:p>
            <w:pPr>
              <w:pStyle w:val="TableParagraph"/>
              <w:spacing w:before="46"/>
              <w:ind w:left="1460" w:right="1452"/>
              <w:rPr>
                <w:rFonts w:ascii="宋体" w:eastAsia="宋体"/>
                <w:sz w:val="21"/>
              </w:rPr>
            </w:pPr>
            <w:r>
              <w:rPr>
                <w:rFonts w:ascii="宋体" w:eastAsia="宋体"/>
                <w:spacing w:val="-4"/>
                <w:sz w:val="21"/>
              </w:rPr>
              <w:t>到达年龄</w:t>
            </w:r>
          </w:p>
        </w:tc>
        <w:tc>
          <w:tcPr>
            <w:tcW w:w="4264" w:type="dxa"/>
          </w:tcPr>
          <w:p>
            <w:pPr>
              <w:pStyle w:val="TableParagraph"/>
              <w:spacing w:before="46"/>
              <w:ind w:left="1882" w:right="1875"/>
              <w:rPr>
                <w:rFonts w:ascii="宋体" w:eastAsia="宋体"/>
                <w:sz w:val="21"/>
              </w:rPr>
            </w:pPr>
            <w:r>
              <w:rPr>
                <w:rFonts w:ascii="宋体" w:eastAsia="宋体"/>
                <w:spacing w:val="-5"/>
                <w:sz w:val="21"/>
              </w:rPr>
              <w:t>比例</w:t>
            </w:r>
          </w:p>
        </w:tc>
      </w:tr>
      <w:tr>
        <w:trPr>
          <w:trHeight w:val="357" w:hRule="atLeast"/>
        </w:trPr>
        <w:tc>
          <w:tcPr>
            <w:tcW w:w="4261" w:type="dxa"/>
          </w:tcPr>
          <w:p>
            <w:pPr>
              <w:pStyle w:val="TableParagraph"/>
              <w:spacing w:before="46"/>
              <w:ind w:left="1460" w:right="1346"/>
              <w:rPr>
                <w:rFonts w:ascii="宋体" w:eastAsia="宋体"/>
                <w:sz w:val="21"/>
              </w:rPr>
            </w:pPr>
            <w:r>
              <w:rPr>
                <w:sz w:val="21"/>
              </w:rPr>
              <w:t>0-17</w:t>
            </w:r>
            <w:r>
              <w:rPr>
                <w:spacing w:val="-1"/>
                <w:sz w:val="21"/>
              </w:rPr>
              <w:t> </w:t>
            </w:r>
            <w:r>
              <w:rPr>
                <w:rFonts w:ascii="宋体" w:eastAsia="宋体"/>
                <w:spacing w:val="-5"/>
                <w:sz w:val="21"/>
              </w:rPr>
              <w:t>周岁</w:t>
            </w:r>
          </w:p>
        </w:tc>
        <w:tc>
          <w:tcPr>
            <w:tcW w:w="4264" w:type="dxa"/>
          </w:tcPr>
          <w:p>
            <w:pPr>
              <w:pStyle w:val="TableParagraph"/>
              <w:spacing w:before="52"/>
              <w:ind w:left="1880" w:right="1876"/>
              <w:rPr>
                <w:sz w:val="21"/>
              </w:rPr>
            </w:pPr>
            <w:r>
              <w:rPr>
                <w:spacing w:val="-4"/>
                <w:sz w:val="21"/>
              </w:rPr>
              <w:t>100%</w:t>
            </w:r>
          </w:p>
        </w:tc>
      </w:tr>
      <w:tr>
        <w:trPr>
          <w:trHeight w:val="359" w:hRule="atLeast"/>
        </w:trPr>
        <w:tc>
          <w:tcPr>
            <w:tcW w:w="4261" w:type="dxa"/>
          </w:tcPr>
          <w:p>
            <w:pPr>
              <w:pStyle w:val="TableParagraph"/>
              <w:spacing w:before="46"/>
              <w:ind w:left="1460" w:right="1452"/>
              <w:rPr>
                <w:rFonts w:ascii="宋体" w:eastAsia="宋体"/>
                <w:sz w:val="21"/>
              </w:rPr>
            </w:pPr>
            <w:r>
              <w:rPr>
                <w:sz w:val="21"/>
              </w:rPr>
              <w:t>18-40</w:t>
            </w:r>
            <w:r>
              <w:rPr>
                <w:spacing w:val="-1"/>
                <w:sz w:val="21"/>
              </w:rPr>
              <w:t> </w:t>
            </w:r>
            <w:r>
              <w:rPr>
                <w:rFonts w:ascii="宋体" w:eastAsia="宋体"/>
                <w:spacing w:val="-5"/>
                <w:sz w:val="21"/>
              </w:rPr>
              <w:t>周岁</w:t>
            </w:r>
          </w:p>
        </w:tc>
        <w:tc>
          <w:tcPr>
            <w:tcW w:w="4264" w:type="dxa"/>
          </w:tcPr>
          <w:p>
            <w:pPr>
              <w:pStyle w:val="TableParagraph"/>
              <w:spacing w:before="52"/>
              <w:ind w:left="1880" w:right="1876"/>
              <w:rPr>
                <w:sz w:val="21"/>
              </w:rPr>
            </w:pPr>
            <w:r>
              <w:rPr>
                <w:spacing w:val="-4"/>
                <w:sz w:val="21"/>
              </w:rPr>
              <w:t>160%</w:t>
            </w:r>
          </w:p>
        </w:tc>
      </w:tr>
      <w:tr>
        <w:trPr>
          <w:trHeight w:val="359" w:hRule="atLeast"/>
        </w:trPr>
        <w:tc>
          <w:tcPr>
            <w:tcW w:w="4261" w:type="dxa"/>
          </w:tcPr>
          <w:p>
            <w:pPr>
              <w:pStyle w:val="TableParagraph"/>
              <w:spacing w:before="46"/>
              <w:ind w:left="1460" w:right="1452"/>
              <w:rPr>
                <w:rFonts w:ascii="宋体" w:eastAsia="宋体"/>
                <w:sz w:val="21"/>
              </w:rPr>
            </w:pPr>
            <w:r>
              <w:rPr>
                <w:sz w:val="21"/>
              </w:rPr>
              <w:t>41-60</w:t>
            </w:r>
            <w:r>
              <w:rPr>
                <w:spacing w:val="-1"/>
                <w:sz w:val="21"/>
              </w:rPr>
              <w:t> </w:t>
            </w:r>
            <w:r>
              <w:rPr>
                <w:rFonts w:ascii="宋体" w:eastAsia="宋体"/>
                <w:spacing w:val="-5"/>
                <w:sz w:val="21"/>
              </w:rPr>
              <w:t>周岁</w:t>
            </w:r>
          </w:p>
        </w:tc>
        <w:tc>
          <w:tcPr>
            <w:tcW w:w="4264" w:type="dxa"/>
          </w:tcPr>
          <w:p>
            <w:pPr>
              <w:pStyle w:val="TableParagraph"/>
              <w:spacing w:before="52"/>
              <w:ind w:left="1880" w:right="1876"/>
              <w:rPr>
                <w:sz w:val="21"/>
              </w:rPr>
            </w:pPr>
            <w:r>
              <w:rPr>
                <w:spacing w:val="-4"/>
                <w:sz w:val="21"/>
              </w:rPr>
              <w:t>140%</w:t>
            </w:r>
          </w:p>
        </w:tc>
      </w:tr>
      <w:tr>
        <w:trPr>
          <w:trHeight w:val="357" w:hRule="atLeast"/>
        </w:trPr>
        <w:tc>
          <w:tcPr>
            <w:tcW w:w="4261" w:type="dxa"/>
          </w:tcPr>
          <w:p>
            <w:pPr>
              <w:pStyle w:val="TableParagraph"/>
              <w:spacing w:before="46"/>
              <w:ind w:left="1460" w:right="1452"/>
              <w:rPr>
                <w:rFonts w:ascii="宋体" w:eastAsia="宋体"/>
                <w:sz w:val="21"/>
              </w:rPr>
            </w:pPr>
            <w:r>
              <w:rPr>
                <w:sz w:val="21"/>
              </w:rPr>
              <w:t>61</w:t>
            </w:r>
            <w:r>
              <w:rPr>
                <w:spacing w:val="-3"/>
                <w:sz w:val="21"/>
              </w:rPr>
              <w:t> </w:t>
            </w:r>
            <w:r>
              <w:rPr>
                <w:rFonts w:ascii="宋体" w:eastAsia="宋体"/>
                <w:spacing w:val="-2"/>
                <w:sz w:val="21"/>
              </w:rPr>
              <w:t>周岁及以上</w:t>
            </w:r>
          </w:p>
        </w:tc>
        <w:tc>
          <w:tcPr>
            <w:tcW w:w="4264" w:type="dxa"/>
          </w:tcPr>
          <w:p>
            <w:pPr>
              <w:pStyle w:val="TableParagraph"/>
              <w:spacing w:before="52"/>
              <w:ind w:left="1882" w:right="1875"/>
              <w:rPr>
                <w:sz w:val="21"/>
              </w:rPr>
            </w:pPr>
            <w:r>
              <w:rPr>
                <w:spacing w:val="-4"/>
                <w:sz w:val="21"/>
              </w:rPr>
              <w:t>120%</w:t>
            </w:r>
          </w:p>
        </w:tc>
      </w:tr>
    </w:tbl>
    <w:p>
      <w:pPr>
        <w:pStyle w:val="BodyText"/>
        <w:spacing w:before="101"/>
        <w:ind w:left="733"/>
      </w:pPr>
      <w:r>
        <w:rPr>
          <w:spacing w:val="-4"/>
        </w:rPr>
        <w:t>到达年龄指被保险人原始投保年龄，加上当时保单年度数，再减去 </w:t>
      </w:r>
      <w:r>
        <w:rPr>
          <w:rFonts w:ascii="Calibri" w:eastAsia="Calibri"/>
          <w:spacing w:val="-2"/>
        </w:rPr>
        <w:t>1</w:t>
      </w:r>
      <w:r>
        <w:rPr>
          <w:rFonts w:ascii="Calibri" w:eastAsia="Calibri"/>
          <w:spacing w:val="13"/>
        </w:rPr>
        <w:t> </w:t>
      </w:r>
      <w:r>
        <w:rPr>
          <w:spacing w:val="-3"/>
        </w:rPr>
        <w:t>后所得到的年龄。</w:t>
      </w:r>
    </w:p>
    <w:p>
      <w:pPr>
        <w:pStyle w:val="BodyText"/>
        <w:rPr>
          <w:sz w:val="22"/>
        </w:rPr>
      </w:pPr>
    </w:p>
    <w:p>
      <w:pPr>
        <w:pStyle w:val="BodyText"/>
        <w:spacing w:before="1"/>
        <w:rPr>
          <w:sz w:val="30"/>
        </w:rPr>
      </w:pPr>
    </w:p>
    <w:p>
      <w:pPr>
        <w:pStyle w:val="Heading2"/>
        <w:numPr>
          <w:ilvl w:val="0"/>
          <w:numId w:val="2"/>
        </w:numPr>
        <w:tabs>
          <w:tab w:pos="681" w:val="left" w:leader="none"/>
        </w:tabs>
        <w:spacing w:line="240" w:lineRule="auto" w:before="0" w:after="0"/>
        <w:ind w:left="680" w:right="0" w:hanging="361"/>
        <w:jc w:val="left"/>
        <w:rPr>
          <w:rFonts w:ascii="黑体" w:eastAsia="黑体" w:hint="eastAsia"/>
        </w:rPr>
      </w:pPr>
      <w:bookmarkStart w:name="_bookmark25" w:id="47"/>
      <w:bookmarkEnd w:id="47"/>
      <w:r>
        <w:rPr>
          <w:b w:val="0"/>
        </w:rPr>
      </w:r>
      <w:bookmarkStart w:name="_bookmark25" w:id="48"/>
      <w:bookmarkEnd w:id="48"/>
      <w:r>
        <w:rPr>
          <w:rFonts w:ascii="黑体" w:eastAsia="黑体" w:hint="eastAsia"/>
          <w:spacing w:val="-3"/>
        </w:rPr>
        <w:t>责任免除</w:t>
      </w:r>
    </w:p>
    <w:p>
      <w:pPr>
        <w:pStyle w:val="BodyText"/>
        <w:spacing w:before="7"/>
        <w:rPr>
          <w:rFonts w:ascii="黑体"/>
          <w:b/>
          <w:sz w:val="15"/>
        </w:rPr>
      </w:pPr>
    </w:p>
    <w:p>
      <w:pPr>
        <w:pStyle w:val="BodyText"/>
        <w:ind w:left="793"/>
        <w:rPr>
          <w:rFonts w:ascii="黑体" w:eastAsia="黑体"/>
        </w:rPr>
      </w:pPr>
      <w:r>
        <w:rPr>
          <w:rFonts w:ascii="黑体" w:eastAsia="黑体"/>
          <w:spacing w:val="-3"/>
        </w:rPr>
        <w:t>有下列情形之一，导致被保险人身故的，我们不承担身故保险金给付责任：</w:t>
      </w:r>
    </w:p>
    <w:p>
      <w:pPr>
        <w:pStyle w:val="BodyText"/>
        <w:spacing w:before="7"/>
        <w:rPr>
          <w:rFonts w:ascii="黑体"/>
          <w:sz w:val="15"/>
        </w:rPr>
      </w:pPr>
    </w:p>
    <w:p>
      <w:pPr>
        <w:pStyle w:val="ListParagraph"/>
        <w:numPr>
          <w:ilvl w:val="0"/>
          <w:numId w:val="7"/>
        </w:numPr>
        <w:tabs>
          <w:tab w:pos="1492" w:val="left" w:leader="none"/>
        </w:tabs>
        <w:spacing w:line="240" w:lineRule="auto" w:before="0" w:after="0"/>
        <w:ind w:left="1491" w:right="0" w:hanging="632"/>
        <w:jc w:val="left"/>
        <w:rPr>
          <w:rFonts w:ascii="黑体" w:eastAsia="黑体"/>
          <w:sz w:val="21"/>
        </w:rPr>
      </w:pPr>
      <w:r>
        <w:rPr>
          <w:rFonts w:ascii="黑体" w:eastAsia="黑体"/>
          <w:spacing w:val="-3"/>
          <w:sz w:val="21"/>
        </w:rPr>
        <w:t>投保人对被保险人的故意杀害、故意伤害；</w:t>
      </w:r>
    </w:p>
    <w:p>
      <w:pPr>
        <w:pStyle w:val="BodyText"/>
        <w:spacing w:before="7"/>
        <w:rPr>
          <w:rFonts w:ascii="黑体"/>
          <w:sz w:val="15"/>
        </w:rPr>
      </w:pPr>
    </w:p>
    <w:p>
      <w:pPr>
        <w:pStyle w:val="ListParagraph"/>
        <w:numPr>
          <w:ilvl w:val="0"/>
          <w:numId w:val="7"/>
        </w:numPr>
        <w:tabs>
          <w:tab w:pos="1492" w:val="left" w:leader="none"/>
        </w:tabs>
        <w:spacing w:line="240" w:lineRule="auto" w:before="0" w:after="0"/>
        <w:ind w:left="1491" w:right="0" w:hanging="632"/>
        <w:jc w:val="left"/>
        <w:rPr>
          <w:rFonts w:ascii="黑体" w:eastAsia="黑体"/>
          <w:sz w:val="21"/>
        </w:rPr>
      </w:pPr>
      <w:r>
        <w:rPr>
          <w:rFonts w:ascii="黑体" w:eastAsia="黑体"/>
          <w:spacing w:val="-3"/>
          <w:sz w:val="21"/>
        </w:rPr>
        <w:t>被保险人故意犯罪或者抗拒依法采取的刑事强制措施；</w:t>
      </w:r>
    </w:p>
    <w:p>
      <w:pPr>
        <w:pStyle w:val="BodyText"/>
        <w:spacing w:before="6"/>
        <w:rPr>
          <w:rFonts w:ascii="黑体"/>
          <w:sz w:val="15"/>
        </w:rPr>
      </w:pPr>
    </w:p>
    <w:p>
      <w:pPr>
        <w:pStyle w:val="ListParagraph"/>
        <w:numPr>
          <w:ilvl w:val="0"/>
          <w:numId w:val="7"/>
        </w:numPr>
        <w:tabs>
          <w:tab w:pos="1490" w:val="left" w:leader="none"/>
        </w:tabs>
        <w:spacing w:line="417" w:lineRule="auto" w:before="1" w:after="0"/>
        <w:ind w:left="860" w:right="311" w:firstLine="0"/>
        <w:jc w:val="left"/>
        <w:rPr>
          <w:rFonts w:ascii="黑体" w:eastAsia="黑体"/>
          <w:sz w:val="21"/>
        </w:rPr>
      </w:pPr>
      <w:r>
        <w:rPr>
          <w:rFonts w:ascii="黑体" w:eastAsia="黑体"/>
          <w:spacing w:val="-4"/>
          <w:sz w:val="21"/>
        </w:rPr>
        <w:t>被保险人自本合同生效之日起 </w:t>
      </w:r>
      <w:r>
        <w:rPr>
          <w:rFonts w:ascii="黑体" w:eastAsia="黑体"/>
          <w:sz w:val="21"/>
        </w:rPr>
        <w:t>2</w:t>
      </w:r>
      <w:r>
        <w:rPr>
          <w:rFonts w:ascii="黑体" w:eastAsia="黑体"/>
          <w:spacing w:val="-8"/>
          <w:sz w:val="21"/>
        </w:rPr>
        <w:t> 年内自杀，但被保险人自杀时为无民事行为能</w:t>
      </w:r>
      <w:r>
        <w:rPr>
          <w:rFonts w:ascii="黑体" w:eastAsia="黑体"/>
          <w:spacing w:val="-2"/>
          <w:sz w:val="21"/>
        </w:rPr>
        <w:t>力人的除外。</w:t>
      </w:r>
    </w:p>
    <w:p>
      <w:pPr>
        <w:pStyle w:val="BodyText"/>
        <w:spacing w:line="417" w:lineRule="auto"/>
        <w:ind w:left="320" w:right="323" w:firstLine="419"/>
        <w:rPr>
          <w:rFonts w:ascii="黑体" w:eastAsia="黑体"/>
        </w:rPr>
      </w:pPr>
      <w:r>
        <w:rPr>
          <w:rFonts w:ascii="黑体" w:eastAsia="黑体"/>
          <w:spacing w:val="-2"/>
        </w:rPr>
        <w:t>发生上述第（1）项情形导致被保险人身故的，本合同效力终止，我们向被保险人的继</w:t>
      </w:r>
      <w:r>
        <w:rPr>
          <w:rFonts w:ascii="黑体" w:eastAsia="黑体"/>
          <w:spacing w:val="-2"/>
        </w:rPr>
        <w:t>承人退还合同终止时的账户价值。</w:t>
      </w:r>
    </w:p>
    <w:p>
      <w:pPr>
        <w:pStyle w:val="BodyText"/>
        <w:spacing w:line="417" w:lineRule="auto"/>
        <w:ind w:left="320" w:right="311" w:firstLine="412"/>
        <w:rPr>
          <w:rFonts w:ascii="黑体" w:eastAsia="黑体"/>
        </w:rPr>
      </w:pPr>
      <w:r>
        <w:rPr>
          <w:rFonts w:ascii="黑体" w:eastAsia="黑体"/>
          <w:spacing w:val="-4"/>
        </w:rPr>
        <w:t>发生上述其他情形导致被保险人身故的，本合同效力终止，我们向您退还合同终止时的</w:t>
      </w:r>
      <w:r>
        <w:rPr>
          <w:rFonts w:ascii="黑体" w:eastAsia="黑体"/>
          <w:spacing w:val="-2"/>
        </w:rPr>
        <w:t>账户价值。</w:t>
      </w:r>
    </w:p>
    <w:p>
      <w:pPr>
        <w:pStyle w:val="BodyText"/>
        <w:rPr>
          <w:rFonts w:ascii="黑体"/>
          <w:sz w:val="20"/>
        </w:rPr>
      </w:pPr>
    </w:p>
    <w:p>
      <w:pPr>
        <w:pStyle w:val="Heading2"/>
        <w:numPr>
          <w:ilvl w:val="0"/>
          <w:numId w:val="2"/>
        </w:numPr>
        <w:tabs>
          <w:tab w:pos="681" w:val="left" w:leader="none"/>
        </w:tabs>
        <w:spacing w:line="240" w:lineRule="auto" w:before="141" w:after="0"/>
        <w:ind w:left="680" w:right="0" w:hanging="361"/>
        <w:jc w:val="left"/>
        <w:rPr>
          <w:rFonts w:ascii="Calibri" w:eastAsia="Calibri"/>
        </w:rPr>
      </w:pPr>
      <w:bookmarkStart w:name="_bookmark26" w:id="49"/>
      <w:bookmarkEnd w:id="49"/>
      <w:r>
        <w:rPr>
          <w:b w:val="0"/>
        </w:rPr>
      </w:r>
      <w:bookmarkStart w:name="_bookmark26" w:id="50"/>
      <w:bookmarkEnd w:id="50"/>
      <w:r>
        <w:rPr>
          <w:spacing w:val="-4"/>
        </w:rPr>
        <w:t>受益人</w:t>
      </w:r>
    </w:p>
    <w:p>
      <w:pPr>
        <w:pStyle w:val="ListParagraph"/>
        <w:numPr>
          <w:ilvl w:val="1"/>
          <w:numId w:val="2"/>
        </w:numPr>
        <w:tabs>
          <w:tab w:pos="1161" w:val="left" w:leader="none"/>
        </w:tabs>
        <w:spacing w:line="240" w:lineRule="auto" w:before="152" w:after="0"/>
        <w:ind w:left="1160" w:right="0" w:hanging="421"/>
        <w:jc w:val="both"/>
        <w:rPr>
          <w:sz w:val="21"/>
        </w:rPr>
      </w:pPr>
      <w:r>
        <w:rPr>
          <w:spacing w:val="-4"/>
          <w:sz w:val="21"/>
        </w:rPr>
        <w:t>身故保险金受益人</w:t>
      </w:r>
    </w:p>
    <w:p>
      <w:pPr>
        <w:pStyle w:val="BodyText"/>
        <w:spacing w:before="6"/>
        <w:rPr>
          <w:sz w:val="15"/>
        </w:rPr>
      </w:pPr>
    </w:p>
    <w:p>
      <w:pPr>
        <w:pStyle w:val="BodyText"/>
        <w:spacing w:line="417" w:lineRule="auto"/>
        <w:ind w:left="320" w:right="311" w:firstLine="419"/>
        <w:jc w:val="both"/>
      </w:pPr>
      <w:r>
        <w:rPr>
          <w:spacing w:val="-4"/>
        </w:rPr>
        <w:t>您或被保险人可指定一人或数人为身故保险金受益人。身故保险金受益人为数人时，应</w:t>
      </w:r>
      <w:r>
        <w:rPr>
          <w:spacing w:val="-4"/>
        </w:rPr>
        <w:t>确定受益顺序和受益份额；未确定受益顺序和受益份额的，各受益人按照相等份额享有受益</w:t>
      </w:r>
      <w:r>
        <w:rPr>
          <w:spacing w:val="-6"/>
        </w:rPr>
        <w:t>权。</w:t>
      </w:r>
    </w:p>
    <w:p>
      <w:pPr>
        <w:pStyle w:val="BodyText"/>
        <w:spacing w:line="417" w:lineRule="auto"/>
        <w:ind w:left="320" w:right="311" w:firstLine="419"/>
      </w:pPr>
      <w:r>
        <w:rPr>
          <w:spacing w:val="-6"/>
        </w:rPr>
        <w:t>您或被保险人可以变更身故保险金受益人并书面通知我们。我们收到变更受益人的书面</w:t>
      </w:r>
      <w:r>
        <w:rPr>
          <w:spacing w:val="-2"/>
        </w:rPr>
        <w:t>通知后，在保险单或其他保险凭证上批注或附贴批单。</w:t>
      </w:r>
    </w:p>
    <w:p>
      <w:pPr>
        <w:pStyle w:val="BodyText"/>
        <w:ind w:left="740"/>
      </w:pPr>
      <w:r>
        <w:rPr>
          <w:spacing w:val="-3"/>
        </w:rPr>
        <w:t>您在指定或变更身故保险金受益人时，必须经被保险人书面同意。</w:t>
      </w:r>
    </w:p>
    <w:p>
      <w:pPr>
        <w:pStyle w:val="BodyText"/>
        <w:spacing w:before="7"/>
        <w:rPr>
          <w:sz w:val="15"/>
        </w:rPr>
      </w:pPr>
    </w:p>
    <w:p>
      <w:pPr>
        <w:pStyle w:val="BodyText"/>
        <w:ind w:left="740"/>
      </w:pPr>
      <w:r>
        <w:rPr>
          <w:spacing w:val="-3"/>
        </w:rPr>
        <w:t>有下列情形之一的，身故保险金作为被保险人遗产，我们将依照相关法律规定处理：</w:t>
      </w:r>
    </w:p>
    <w:p>
      <w:pPr>
        <w:pStyle w:val="BodyText"/>
        <w:spacing w:before="6"/>
        <w:rPr>
          <w:sz w:val="15"/>
        </w:rPr>
      </w:pPr>
    </w:p>
    <w:p>
      <w:pPr>
        <w:pStyle w:val="ListParagraph"/>
        <w:numPr>
          <w:ilvl w:val="0"/>
          <w:numId w:val="8"/>
        </w:numPr>
        <w:tabs>
          <w:tab w:pos="1164" w:val="left" w:leader="none"/>
        </w:tabs>
        <w:spacing w:line="240" w:lineRule="auto" w:before="1" w:after="0"/>
        <w:ind w:left="1163" w:right="0" w:hanging="530"/>
        <w:jc w:val="left"/>
        <w:rPr>
          <w:sz w:val="21"/>
        </w:rPr>
      </w:pPr>
      <w:r>
        <w:rPr>
          <w:spacing w:val="-3"/>
          <w:sz w:val="21"/>
        </w:rPr>
        <w:t>没有指定受益人，或者受益人指定不明无法确定的；</w:t>
      </w:r>
    </w:p>
    <w:p>
      <w:pPr>
        <w:pStyle w:val="BodyText"/>
        <w:spacing w:before="6"/>
        <w:rPr>
          <w:sz w:val="15"/>
        </w:rPr>
      </w:pPr>
    </w:p>
    <w:p>
      <w:pPr>
        <w:pStyle w:val="ListParagraph"/>
        <w:numPr>
          <w:ilvl w:val="0"/>
          <w:numId w:val="8"/>
        </w:numPr>
        <w:tabs>
          <w:tab w:pos="1164" w:val="left" w:leader="none"/>
        </w:tabs>
        <w:spacing w:line="240" w:lineRule="auto" w:before="0" w:after="0"/>
        <w:ind w:left="1163" w:right="0" w:hanging="530"/>
        <w:jc w:val="left"/>
        <w:rPr>
          <w:sz w:val="21"/>
        </w:rPr>
      </w:pPr>
      <w:r>
        <w:rPr>
          <w:spacing w:val="-3"/>
          <w:sz w:val="21"/>
        </w:rPr>
        <w:t>受益人先于被保险人身故，没有其他受益人的；</w:t>
      </w:r>
    </w:p>
    <w:p>
      <w:pPr>
        <w:pStyle w:val="BodyText"/>
        <w:spacing w:before="7"/>
        <w:rPr>
          <w:sz w:val="15"/>
        </w:rPr>
      </w:pPr>
    </w:p>
    <w:p>
      <w:pPr>
        <w:pStyle w:val="ListParagraph"/>
        <w:numPr>
          <w:ilvl w:val="0"/>
          <w:numId w:val="8"/>
        </w:numPr>
        <w:tabs>
          <w:tab w:pos="1164" w:val="left" w:leader="none"/>
        </w:tabs>
        <w:spacing w:line="240" w:lineRule="auto" w:before="0" w:after="0"/>
        <w:ind w:left="1163" w:right="0" w:hanging="530"/>
        <w:jc w:val="left"/>
        <w:rPr>
          <w:sz w:val="21"/>
        </w:rPr>
      </w:pPr>
      <w:r>
        <w:rPr>
          <w:spacing w:val="-3"/>
          <w:sz w:val="21"/>
        </w:rPr>
        <w:t>受益人依法丧失受益权或者放弃受益权，没有其他受益人的。</w:t>
      </w:r>
    </w:p>
    <w:p>
      <w:pPr>
        <w:spacing w:after="0" w:line="240" w:lineRule="auto"/>
        <w:jc w:val="left"/>
        <w:rPr>
          <w:sz w:val="21"/>
        </w:rPr>
        <w:sectPr>
          <w:pgSz w:w="11910" w:h="16840"/>
          <w:pgMar w:header="0" w:footer="1005" w:top="1460" w:bottom="1200" w:left="1480" w:right="1480"/>
        </w:sectPr>
      </w:pPr>
    </w:p>
    <w:p>
      <w:pPr>
        <w:pStyle w:val="BodyText"/>
        <w:spacing w:line="417" w:lineRule="auto" w:before="61"/>
        <w:ind w:left="320" w:right="311" w:firstLine="419"/>
      </w:pPr>
      <w:r>
        <w:rPr>
          <w:spacing w:val="-4"/>
        </w:rPr>
        <w:t>受益人与被保险人在同一事件中身故，且不能确定身故先后顺序的，推定受益人身故在</w:t>
      </w:r>
      <w:r>
        <w:rPr>
          <w:spacing w:val="-6"/>
        </w:rPr>
        <w:t>先。</w:t>
      </w:r>
    </w:p>
    <w:p>
      <w:pPr>
        <w:pStyle w:val="BodyText"/>
        <w:ind w:left="740"/>
      </w:pPr>
      <w:r>
        <w:rPr>
          <w:spacing w:val="-13"/>
        </w:rPr>
        <w:t>受益人故意造成被保险人身故的，或者故意杀害被保险人未遂的，该受益人丧失受益权。</w:t>
      </w:r>
    </w:p>
    <w:p>
      <w:pPr>
        <w:pStyle w:val="BodyText"/>
        <w:rPr>
          <w:sz w:val="20"/>
        </w:rPr>
      </w:pPr>
    </w:p>
    <w:p>
      <w:pPr>
        <w:pStyle w:val="BodyText"/>
        <w:spacing w:before="8"/>
        <w:rPr>
          <w:sz w:val="26"/>
        </w:rPr>
      </w:pPr>
    </w:p>
    <w:p>
      <w:pPr>
        <w:pStyle w:val="Heading2"/>
        <w:numPr>
          <w:ilvl w:val="0"/>
          <w:numId w:val="2"/>
        </w:numPr>
        <w:tabs>
          <w:tab w:pos="681" w:val="left" w:leader="none"/>
        </w:tabs>
        <w:spacing w:line="240" w:lineRule="auto" w:before="0" w:after="0"/>
        <w:ind w:left="680" w:right="0" w:hanging="361"/>
        <w:jc w:val="left"/>
        <w:rPr>
          <w:rFonts w:ascii="Calibri" w:eastAsia="Calibri"/>
        </w:rPr>
      </w:pPr>
      <w:bookmarkStart w:name="_bookmark27" w:id="51"/>
      <w:bookmarkEnd w:id="51"/>
      <w:r>
        <w:rPr>
          <w:b w:val="0"/>
        </w:rPr>
      </w:r>
      <w:bookmarkStart w:name="_bookmark27" w:id="52"/>
      <w:bookmarkEnd w:id="52"/>
      <w:r>
        <w:rPr>
          <w:spacing w:val="-2"/>
        </w:rPr>
        <w:t>保险事故的通知</w:t>
      </w:r>
    </w:p>
    <w:p>
      <w:pPr>
        <w:spacing w:line="290" w:lineRule="auto" w:before="82"/>
        <w:ind w:left="320" w:right="209" w:firstLine="422"/>
        <w:jc w:val="left"/>
        <w:rPr>
          <w:rFonts w:ascii="Microsoft JhengHei" w:eastAsia="Microsoft JhengHei"/>
          <w:b/>
          <w:sz w:val="21"/>
        </w:rPr>
      </w:pPr>
      <w:r>
        <w:rPr>
          <w:rFonts w:ascii="Microsoft JhengHei" w:eastAsia="Microsoft JhengHei"/>
          <w:b/>
          <w:spacing w:val="-2"/>
          <w:w w:val="100"/>
          <w:sz w:val="21"/>
        </w:rPr>
        <w:t>您或受益人应于知道保险事故发生之日起</w:t>
      </w:r>
      <w:r>
        <w:rPr>
          <w:rFonts w:ascii="Microsoft JhengHei" w:eastAsia="Microsoft JhengHei"/>
          <w:b/>
          <w:sz w:val="21"/>
        </w:rPr>
        <w:t> </w:t>
      </w:r>
      <w:r>
        <w:rPr>
          <w:rFonts w:ascii="Calibri" w:eastAsia="Calibri"/>
          <w:b/>
          <w:spacing w:val="-2"/>
          <w:w w:val="100"/>
          <w:sz w:val="21"/>
        </w:rPr>
        <w:t>1</w:t>
      </w:r>
      <w:r>
        <w:rPr>
          <w:rFonts w:ascii="Calibri" w:eastAsia="Calibri"/>
          <w:b/>
          <w:w w:val="100"/>
          <w:sz w:val="21"/>
        </w:rPr>
        <w:t>0</w:t>
      </w:r>
      <w:r>
        <w:rPr>
          <w:rFonts w:ascii="Calibri" w:eastAsia="Calibri"/>
          <w:b/>
          <w:spacing w:val="3"/>
          <w:sz w:val="21"/>
        </w:rPr>
        <w:t> </w:t>
      </w:r>
      <w:r>
        <w:rPr>
          <w:rFonts w:ascii="Microsoft JhengHei" w:eastAsia="Microsoft JhengHei"/>
          <w:b/>
          <w:spacing w:val="-5"/>
          <w:w w:val="100"/>
          <w:sz w:val="21"/>
        </w:rPr>
        <w:t>日内通知我们。如因故意或者重大过失未</w:t>
      </w:r>
      <w:r>
        <w:rPr>
          <w:rFonts w:ascii="Microsoft JhengHei" w:eastAsia="Microsoft JhengHei"/>
          <w:b/>
          <w:spacing w:val="-6"/>
          <w:w w:val="100"/>
          <w:sz w:val="21"/>
        </w:rPr>
        <w:t>及时通知，致使保险事故的性质、原因、损失程度等难以确定的，我们对无法确定的部分，</w:t>
      </w:r>
      <w:r>
        <w:rPr>
          <w:rFonts w:ascii="Microsoft JhengHei" w:eastAsia="Microsoft JhengHei"/>
          <w:b/>
          <w:w w:val="100"/>
          <w:sz w:val="21"/>
        </w:rPr>
        <w:t>不承担给付保险金的责任，但我们通过其他途径已经及时知道或者应当及时知道保险事故</w:t>
      </w:r>
      <w:r>
        <w:rPr>
          <w:rFonts w:ascii="Microsoft JhengHei" w:eastAsia="Microsoft JhengHei"/>
          <w:b/>
          <w:spacing w:val="-3"/>
          <w:w w:val="100"/>
          <w:sz w:val="21"/>
        </w:rPr>
        <w:t>发生或者虽未及时通知但不影响本公司确定保险事故的性质、原因、损失程度的除外。</w:t>
      </w:r>
    </w:p>
    <w:p>
      <w:pPr>
        <w:pStyle w:val="BodyText"/>
        <w:spacing w:before="12"/>
        <w:rPr>
          <w:rFonts w:ascii="Microsoft JhengHei"/>
          <w:b/>
          <w:sz w:val="25"/>
        </w:rPr>
      </w:pPr>
    </w:p>
    <w:p>
      <w:pPr>
        <w:pStyle w:val="Heading2"/>
        <w:numPr>
          <w:ilvl w:val="0"/>
          <w:numId w:val="2"/>
        </w:numPr>
        <w:tabs>
          <w:tab w:pos="681" w:val="left" w:leader="none"/>
        </w:tabs>
        <w:spacing w:line="240" w:lineRule="auto" w:before="0" w:after="0"/>
        <w:ind w:left="680" w:right="0" w:hanging="361"/>
        <w:jc w:val="left"/>
        <w:rPr>
          <w:rFonts w:ascii="Calibri" w:eastAsia="Calibri"/>
        </w:rPr>
      </w:pPr>
      <w:bookmarkStart w:name="_bookmark28" w:id="53"/>
      <w:bookmarkEnd w:id="53"/>
      <w:r>
        <w:rPr>
          <w:b w:val="0"/>
        </w:rPr>
      </w:r>
      <w:bookmarkStart w:name="_bookmark28" w:id="54"/>
      <w:bookmarkEnd w:id="54"/>
      <w:r>
        <w:rPr>
          <w:spacing w:val="-2"/>
        </w:rPr>
        <w:t>保险金的申请</w:t>
      </w:r>
    </w:p>
    <w:p>
      <w:pPr>
        <w:pStyle w:val="ListParagraph"/>
        <w:numPr>
          <w:ilvl w:val="1"/>
          <w:numId w:val="2"/>
        </w:numPr>
        <w:tabs>
          <w:tab w:pos="1161" w:val="left" w:leader="none"/>
        </w:tabs>
        <w:spacing w:line="240" w:lineRule="auto" w:before="151" w:after="0"/>
        <w:ind w:left="1160" w:right="0" w:hanging="421"/>
        <w:jc w:val="left"/>
        <w:rPr>
          <w:sz w:val="21"/>
        </w:rPr>
      </w:pPr>
      <w:r>
        <w:rPr>
          <w:spacing w:val="-4"/>
          <w:sz w:val="21"/>
        </w:rPr>
        <w:t>身故保险金</w:t>
      </w:r>
    </w:p>
    <w:p>
      <w:pPr>
        <w:pStyle w:val="BodyText"/>
        <w:spacing w:before="7"/>
        <w:rPr>
          <w:sz w:val="15"/>
        </w:rPr>
      </w:pPr>
    </w:p>
    <w:p>
      <w:pPr>
        <w:pStyle w:val="BodyText"/>
        <w:spacing w:line="417" w:lineRule="auto"/>
        <w:ind w:left="320" w:right="311" w:firstLine="419"/>
      </w:pPr>
      <w:r>
        <w:rPr>
          <w:spacing w:val="-4"/>
        </w:rPr>
        <w:t>由身故保险金受益人作为申请人，填写保险金给付申请书，并提供下列证明、资料向我</w:t>
      </w:r>
      <w:r>
        <w:rPr>
          <w:spacing w:val="-2"/>
        </w:rPr>
        <w:t>们申请给付身故保险金：</w:t>
      </w:r>
    </w:p>
    <w:p>
      <w:pPr>
        <w:pStyle w:val="ListParagraph"/>
        <w:numPr>
          <w:ilvl w:val="0"/>
          <w:numId w:val="9"/>
        </w:numPr>
        <w:tabs>
          <w:tab w:pos="1173" w:val="left" w:leader="none"/>
        </w:tabs>
        <w:spacing w:line="269" w:lineRule="exact" w:before="0" w:after="0"/>
        <w:ind w:left="1172" w:right="0" w:hanging="539"/>
        <w:jc w:val="left"/>
        <w:rPr>
          <w:sz w:val="21"/>
        </w:rPr>
      </w:pPr>
      <w:r>
        <w:rPr>
          <w:spacing w:val="-4"/>
          <w:sz w:val="21"/>
        </w:rPr>
        <w:t>保险合同；</w:t>
      </w:r>
    </w:p>
    <w:p>
      <w:pPr>
        <w:pStyle w:val="BodyText"/>
        <w:spacing w:before="6"/>
        <w:rPr>
          <w:sz w:val="15"/>
        </w:rPr>
      </w:pPr>
    </w:p>
    <w:p>
      <w:pPr>
        <w:pStyle w:val="ListParagraph"/>
        <w:numPr>
          <w:ilvl w:val="0"/>
          <w:numId w:val="9"/>
        </w:numPr>
        <w:tabs>
          <w:tab w:pos="1173" w:val="left" w:leader="none"/>
        </w:tabs>
        <w:spacing w:line="240" w:lineRule="auto" w:before="1" w:after="0"/>
        <w:ind w:left="1172" w:right="0" w:hanging="539"/>
        <w:jc w:val="left"/>
        <w:rPr>
          <w:sz w:val="21"/>
        </w:rPr>
      </w:pPr>
      <w:r>
        <w:rPr>
          <w:spacing w:val="-3"/>
          <w:sz w:val="21"/>
        </w:rPr>
        <w:t>申请人的有效身份证件；</w:t>
      </w:r>
    </w:p>
    <w:p>
      <w:pPr>
        <w:pStyle w:val="BodyText"/>
        <w:spacing w:before="6"/>
        <w:rPr>
          <w:sz w:val="15"/>
        </w:rPr>
      </w:pPr>
    </w:p>
    <w:p>
      <w:pPr>
        <w:pStyle w:val="ListParagraph"/>
        <w:numPr>
          <w:ilvl w:val="0"/>
          <w:numId w:val="9"/>
        </w:numPr>
        <w:tabs>
          <w:tab w:pos="1173" w:val="left" w:leader="none"/>
        </w:tabs>
        <w:spacing w:line="417" w:lineRule="auto" w:before="0" w:after="0"/>
        <w:ind w:left="1172" w:right="208" w:hanging="538"/>
        <w:jc w:val="left"/>
        <w:rPr>
          <w:sz w:val="21"/>
        </w:rPr>
      </w:pPr>
      <w:r>
        <w:rPr>
          <w:spacing w:val="-9"/>
          <w:sz w:val="21"/>
        </w:rPr>
        <w:t>国家卫生行政部门认定的医疗机构、公安部门或其他相关机构出具的被保险人死亡</w:t>
      </w:r>
      <w:r>
        <w:rPr>
          <w:spacing w:val="-2"/>
          <w:sz w:val="21"/>
        </w:rPr>
        <w:t>证明。如被保险人为宣告死亡，申请人须提供人民法院出具的宣告死亡证明文件；</w:t>
      </w:r>
    </w:p>
    <w:p>
      <w:pPr>
        <w:pStyle w:val="ListParagraph"/>
        <w:numPr>
          <w:ilvl w:val="0"/>
          <w:numId w:val="9"/>
        </w:numPr>
        <w:tabs>
          <w:tab w:pos="1173" w:val="left" w:leader="none"/>
        </w:tabs>
        <w:spacing w:line="240" w:lineRule="auto" w:before="0" w:after="0"/>
        <w:ind w:left="1172" w:right="0" w:hanging="539"/>
        <w:jc w:val="left"/>
        <w:rPr>
          <w:sz w:val="21"/>
        </w:rPr>
      </w:pPr>
      <w:r>
        <w:rPr>
          <w:spacing w:val="-3"/>
          <w:sz w:val="21"/>
        </w:rPr>
        <w:t>被保险人的户籍注销证明；</w:t>
      </w:r>
    </w:p>
    <w:p>
      <w:pPr>
        <w:pStyle w:val="BodyText"/>
        <w:spacing w:before="7"/>
        <w:rPr>
          <w:sz w:val="15"/>
        </w:rPr>
      </w:pPr>
    </w:p>
    <w:p>
      <w:pPr>
        <w:pStyle w:val="ListParagraph"/>
        <w:numPr>
          <w:ilvl w:val="0"/>
          <w:numId w:val="9"/>
        </w:numPr>
        <w:tabs>
          <w:tab w:pos="1173" w:val="left" w:leader="none"/>
        </w:tabs>
        <w:spacing w:line="240" w:lineRule="auto" w:before="0" w:after="0"/>
        <w:ind w:left="1172" w:right="0" w:hanging="539"/>
        <w:jc w:val="left"/>
        <w:rPr>
          <w:sz w:val="21"/>
        </w:rPr>
      </w:pPr>
      <w:r>
        <w:rPr>
          <w:spacing w:val="-3"/>
          <w:sz w:val="21"/>
        </w:rPr>
        <w:t>所能提供的与确认保险事故的性质、原因等有关的其他证明和资料；</w:t>
      </w:r>
    </w:p>
    <w:p>
      <w:pPr>
        <w:pStyle w:val="BodyText"/>
        <w:spacing w:before="7"/>
        <w:rPr>
          <w:sz w:val="15"/>
        </w:rPr>
      </w:pPr>
    </w:p>
    <w:p>
      <w:pPr>
        <w:pStyle w:val="ListParagraph"/>
        <w:numPr>
          <w:ilvl w:val="0"/>
          <w:numId w:val="9"/>
        </w:numPr>
        <w:tabs>
          <w:tab w:pos="1173" w:val="left" w:leader="none"/>
        </w:tabs>
        <w:spacing w:line="417" w:lineRule="auto" w:before="0" w:after="0"/>
        <w:ind w:left="1172" w:right="311" w:hanging="538"/>
        <w:jc w:val="left"/>
        <w:rPr>
          <w:sz w:val="21"/>
        </w:rPr>
      </w:pPr>
      <w:r>
        <w:rPr>
          <w:spacing w:val="-7"/>
          <w:sz w:val="21"/>
        </w:rPr>
        <w:t>若申请人委托他人代为申请给付保险金，还应提供授权委托书、受托人有效身份证</w:t>
      </w:r>
      <w:r>
        <w:rPr>
          <w:spacing w:val="-2"/>
          <w:sz w:val="21"/>
        </w:rPr>
        <w:t>件等相关证明文件。</w:t>
      </w:r>
    </w:p>
    <w:p>
      <w:pPr>
        <w:pStyle w:val="BodyText"/>
        <w:spacing w:line="269" w:lineRule="exact"/>
        <w:ind w:left="740"/>
      </w:pPr>
      <w:r>
        <w:rPr>
          <w:spacing w:val="-3"/>
        </w:rPr>
        <w:t>保险金作为被保险人遗产时，必须提供可证明合法继承权的相关权利文件。</w:t>
      </w:r>
    </w:p>
    <w:p>
      <w:pPr>
        <w:pStyle w:val="BodyText"/>
        <w:spacing w:before="6"/>
        <w:rPr>
          <w:sz w:val="15"/>
        </w:rPr>
      </w:pPr>
    </w:p>
    <w:p>
      <w:pPr>
        <w:pStyle w:val="BodyText"/>
        <w:spacing w:before="1"/>
        <w:ind w:left="740"/>
      </w:pPr>
      <w:r>
        <w:rPr>
          <w:spacing w:val="-3"/>
        </w:rPr>
        <w:t>以上证明和资料不完整的，我们将及时一次性通知申请人补充提供有关证明和资料。</w:t>
      </w:r>
    </w:p>
    <w:p>
      <w:pPr>
        <w:pStyle w:val="BodyText"/>
        <w:rPr>
          <w:sz w:val="20"/>
        </w:rPr>
      </w:pPr>
    </w:p>
    <w:p>
      <w:pPr>
        <w:pStyle w:val="BodyText"/>
        <w:spacing w:before="8"/>
        <w:rPr>
          <w:sz w:val="26"/>
        </w:rPr>
      </w:pPr>
    </w:p>
    <w:p>
      <w:pPr>
        <w:pStyle w:val="Heading2"/>
        <w:numPr>
          <w:ilvl w:val="0"/>
          <w:numId w:val="2"/>
        </w:numPr>
        <w:tabs>
          <w:tab w:pos="681" w:val="left" w:leader="none"/>
        </w:tabs>
        <w:spacing w:line="240" w:lineRule="auto" w:before="0" w:after="0"/>
        <w:ind w:left="680" w:right="0" w:hanging="361"/>
        <w:jc w:val="left"/>
        <w:rPr>
          <w:rFonts w:ascii="Calibri" w:eastAsia="Calibri"/>
        </w:rPr>
      </w:pPr>
      <w:bookmarkStart w:name="_bookmark29" w:id="55"/>
      <w:bookmarkEnd w:id="55"/>
      <w:r>
        <w:rPr>
          <w:b w:val="0"/>
        </w:rPr>
      </w:r>
      <w:bookmarkStart w:name="_bookmark29" w:id="56"/>
      <w:bookmarkEnd w:id="56"/>
      <w:r>
        <w:rPr>
          <w:spacing w:val="-2"/>
        </w:rPr>
        <w:t>保险金给付</w:t>
      </w:r>
    </w:p>
    <w:p>
      <w:pPr>
        <w:pStyle w:val="BodyText"/>
        <w:spacing w:before="152"/>
        <w:ind w:left="740"/>
      </w:pPr>
      <w:r>
        <w:rPr>
          <w:spacing w:val="-7"/>
        </w:rPr>
        <w:t>我们在收到保险金给付申请书及本合同约定的证明和资料后，将在 </w:t>
      </w:r>
      <w:r>
        <w:rPr>
          <w:rFonts w:ascii="Calibri" w:eastAsia="Calibri"/>
          <w:spacing w:val="-4"/>
        </w:rPr>
        <w:t>5</w:t>
      </w:r>
      <w:r>
        <w:rPr>
          <w:rFonts w:ascii="Calibri" w:eastAsia="Calibri"/>
          <w:spacing w:val="31"/>
        </w:rPr>
        <w:t> </w:t>
      </w:r>
      <w:r>
        <w:rPr>
          <w:spacing w:val="-5"/>
        </w:rPr>
        <w:t>日内作出核定；情</w:t>
      </w:r>
    </w:p>
    <w:p>
      <w:pPr>
        <w:pStyle w:val="BodyText"/>
        <w:spacing w:before="6"/>
        <w:rPr>
          <w:sz w:val="15"/>
        </w:rPr>
      </w:pPr>
    </w:p>
    <w:p>
      <w:pPr>
        <w:pStyle w:val="BodyText"/>
        <w:ind w:left="320"/>
      </w:pPr>
      <w:r>
        <w:rPr>
          <w:spacing w:val="-8"/>
        </w:rPr>
        <w:t>形复杂的，在 </w:t>
      </w:r>
      <w:r>
        <w:rPr>
          <w:rFonts w:ascii="Calibri" w:eastAsia="Calibri"/>
        </w:rPr>
        <w:t>30</w:t>
      </w:r>
      <w:r>
        <w:rPr>
          <w:rFonts w:ascii="Calibri" w:eastAsia="Calibri"/>
          <w:spacing w:val="-8"/>
        </w:rPr>
        <w:t> </w:t>
      </w:r>
      <w:r>
        <w:rPr>
          <w:spacing w:val="-2"/>
        </w:rPr>
        <w:t>日内作出核定。</w:t>
      </w:r>
    </w:p>
    <w:p>
      <w:pPr>
        <w:pStyle w:val="BodyText"/>
        <w:spacing w:before="7"/>
        <w:rPr>
          <w:sz w:val="15"/>
        </w:rPr>
      </w:pPr>
    </w:p>
    <w:p>
      <w:pPr>
        <w:pStyle w:val="BodyText"/>
        <w:spacing w:line="417" w:lineRule="auto"/>
        <w:ind w:left="320" w:right="311" w:firstLine="419"/>
      </w:pPr>
      <w:r>
        <w:rPr>
          <w:spacing w:val="-2"/>
        </w:rPr>
        <w:t>对确定属于保险责任的，在与申请人达成有关给付保险金的协议后 </w:t>
      </w:r>
      <w:r>
        <w:rPr>
          <w:rFonts w:ascii="Calibri" w:eastAsia="Calibri"/>
        </w:rPr>
        <w:t>10</w:t>
      </w:r>
      <w:r>
        <w:rPr>
          <w:rFonts w:ascii="Calibri" w:eastAsia="Calibri"/>
          <w:spacing w:val="-10"/>
        </w:rPr>
        <w:t> </w:t>
      </w:r>
      <w:r>
        <w:rPr/>
        <w:t>日内，履行给付</w:t>
      </w:r>
      <w:r>
        <w:rPr>
          <w:spacing w:val="-2"/>
        </w:rPr>
        <w:t>保险金义务。</w:t>
      </w:r>
    </w:p>
    <w:p>
      <w:pPr>
        <w:spacing w:after="0" w:line="417" w:lineRule="auto"/>
        <w:sectPr>
          <w:pgSz w:w="11910" w:h="16840"/>
          <w:pgMar w:header="0" w:footer="1005" w:top="1460" w:bottom="1200" w:left="1480" w:right="1480"/>
        </w:sectPr>
      </w:pPr>
    </w:p>
    <w:p>
      <w:pPr>
        <w:pStyle w:val="BodyText"/>
        <w:spacing w:line="417" w:lineRule="auto" w:before="61"/>
        <w:ind w:left="320" w:right="313" w:firstLine="419"/>
        <w:jc w:val="both"/>
      </w:pPr>
      <w:r>
        <w:rPr>
          <w:spacing w:val="-13"/>
        </w:rPr>
        <w:t>对不属于保险责任的，我们自作出核定之日起 </w:t>
      </w:r>
      <w:r>
        <w:rPr>
          <w:rFonts w:ascii="Calibri" w:eastAsia="Calibri"/>
          <w:spacing w:val="-2"/>
        </w:rPr>
        <w:t>3</w:t>
      </w:r>
      <w:r>
        <w:rPr>
          <w:rFonts w:ascii="Calibri" w:eastAsia="Calibri"/>
          <w:spacing w:val="24"/>
        </w:rPr>
        <w:t> </w:t>
      </w:r>
      <w:r>
        <w:rPr>
          <w:spacing w:val="-2"/>
        </w:rPr>
        <w:t>日内向申请人发出拒绝给付保险金通知</w:t>
      </w:r>
      <w:r>
        <w:rPr>
          <w:spacing w:val="-2"/>
        </w:rPr>
        <w:t>书，并说明理由。</w:t>
      </w:r>
    </w:p>
    <w:p>
      <w:pPr>
        <w:pStyle w:val="BodyText"/>
        <w:spacing w:line="417" w:lineRule="auto"/>
        <w:ind w:left="320" w:right="311" w:firstLine="419"/>
        <w:jc w:val="both"/>
      </w:pPr>
      <w:r>
        <w:rPr>
          <w:spacing w:val="-2"/>
        </w:rPr>
        <w:t>我们在收到保险金给付申请书及有关证明和资料之日起 </w:t>
      </w:r>
      <w:r>
        <w:rPr>
          <w:rFonts w:ascii="Calibri" w:eastAsia="Calibri"/>
        </w:rPr>
        <w:t>60</w:t>
      </w:r>
      <w:r>
        <w:rPr>
          <w:rFonts w:ascii="Calibri" w:eastAsia="Calibri"/>
          <w:spacing w:val="-12"/>
        </w:rPr>
        <w:t> </w:t>
      </w:r>
      <w:r>
        <w:rPr/>
        <w:t>日内，对给付保险金的数额</w:t>
      </w:r>
      <w:r>
        <w:rPr>
          <w:spacing w:val="-4"/>
        </w:rPr>
        <w:t>不能确定的，根据已有证明和资料可以确定的数额先予支付；我们最终确定给付保险金的数</w:t>
      </w:r>
      <w:r>
        <w:rPr>
          <w:spacing w:val="-2"/>
        </w:rPr>
        <w:t>额后，将支付相应的差额。</w:t>
      </w:r>
    </w:p>
    <w:p>
      <w:pPr>
        <w:pStyle w:val="BodyText"/>
        <w:rPr>
          <w:sz w:val="20"/>
        </w:rPr>
      </w:pPr>
    </w:p>
    <w:p>
      <w:pPr>
        <w:pStyle w:val="Heading2"/>
        <w:numPr>
          <w:ilvl w:val="0"/>
          <w:numId w:val="2"/>
        </w:numPr>
        <w:tabs>
          <w:tab w:pos="681" w:val="left" w:leader="none"/>
        </w:tabs>
        <w:spacing w:line="240" w:lineRule="auto" w:before="142" w:after="0"/>
        <w:ind w:left="680" w:right="0" w:hanging="361"/>
        <w:jc w:val="left"/>
        <w:rPr>
          <w:rFonts w:ascii="Calibri" w:eastAsia="Calibri"/>
        </w:rPr>
      </w:pPr>
      <w:bookmarkStart w:name="_bookmark30" w:id="57"/>
      <w:bookmarkEnd w:id="57"/>
      <w:r>
        <w:rPr>
          <w:b w:val="0"/>
        </w:rPr>
      </w:r>
      <w:bookmarkStart w:name="_bookmark30" w:id="58"/>
      <w:bookmarkEnd w:id="58"/>
      <w:r>
        <w:rPr>
          <w:spacing w:val="-3"/>
        </w:rPr>
        <w:t>保单贷款</w:t>
      </w:r>
    </w:p>
    <w:p>
      <w:pPr>
        <w:pStyle w:val="BodyText"/>
        <w:spacing w:line="417" w:lineRule="auto" w:before="151"/>
        <w:ind w:left="320" w:right="311" w:firstLine="419"/>
        <w:jc w:val="both"/>
      </w:pPr>
      <w:r>
        <w:rPr>
          <w:spacing w:val="-4"/>
        </w:rPr>
        <w:t>在本合同规定的犹豫期后，您可以申请并经我们审核同意后办理保单贷款。贷款金额不</w:t>
      </w:r>
      <w:r>
        <w:rPr>
          <w:spacing w:val="-5"/>
        </w:rPr>
        <w:t>得超过您申请时本合同现金价值扣除各项欠款及利息后余额的 </w:t>
      </w:r>
      <w:r>
        <w:rPr>
          <w:rFonts w:ascii="Calibri" w:eastAsia="Calibri"/>
          <w:spacing w:val="-4"/>
        </w:rPr>
        <w:t>80%</w:t>
      </w:r>
      <w:r>
        <w:rPr>
          <w:spacing w:val="-4"/>
        </w:rPr>
        <w:t>，贷款利率按您与我们签</w:t>
      </w:r>
      <w:r>
        <w:rPr>
          <w:spacing w:val="-3"/>
        </w:rPr>
        <w:t>订的贷款协议中的相关约定执行，每次贷款期限最长不超过 </w:t>
      </w:r>
      <w:r>
        <w:rPr>
          <w:rFonts w:ascii="Calibri" w:eastAsia="Calibri"/>
          <w:spacing w:val="-2"/>
        </w:rPr>
        <w:t>6</w:t>
      </w:r>
      <w:r>
        <w:rPr>
          <w:rFonts w:ascii="Calibri" w:eastAsia="Calibri"/>
          <w:spacing w:val="-10"/>
        </w:rPr>
        <w:t> </w:t>
      </w:r>
      <w:r>
        <w:rPr>
          <w:spacing w:val="-10"/>
        </w:rPr>
        <w:t>个月。我们保留调整贷款利率</w:t>
      </w:r>
      <w:r>
        <w:rPr>
          <w:spacing w:val="-4"/>
        </w:rPr>
        <w:t>的权利。</w:t>
      </w:r>
    </w:p>
    <w:p>
      <w:pPr>
        <w:pStyle w:val="BodyText"/>
        <w:ind w:left="740"/>
      </w:pPr>
      <w:r>
        <w:rPr>
          <w:spacing w:val="-3"/>
        </w:rPr>
        <w:t>您申请保单贷款时，必须经被保险人书面同意。</w:t>
      </w:r>
    </w:p>
    <w:p>
      <w:pPr>
        <w:pStyle w:val="BodyText"/>
        <w:spacing w:before="7"/>
        <w:rPr>
          <w:sz w:val="15"/>
        </w:rPr>
      </w:pPr>
    </w:p>
    <w:p>
      <w:pPr>
        <w:pStyle w:val="BodyText"/>
        <w:spacing w:line="417" w:lineRule="auto"/>
        <w:ind w:left="320" w:right="311" w:firstLine="419"/>
      </w:pPr>
      <w:r>
        <w:rPr>
          <w:spacing w:val="-5"/>
        </w:rPr>
        <w:t>当尚未偿还贷款本金及利息加上各项欠款及利息达到本合同现金价值时，本合同效力终</w:t>
      </w:r>
      <w:r>
        <w:rPr>
          <w:spacing w:val="-6"/>
        </w:rPr>
        <w:t>止。</w:t>
      </w:r>
    </w:p>
    <w:p>
      <w:pPr>
        <w:pStyle w:val="BodyText"/>
        <w:rPr>
          <w:sz w:val="20"/>
        </w:rPr>
      </w:pPr>
    </w:p>
    <w:p>
      <w:pPr>
        <w:pStyle w:val="Heading2"/>
        <w:numPr>
          <w:ilvl w:val="0"/>
          <w:numId w:val="2"/>
        </w:numPr>
        <w:tabs>
          <w:tab w:pos="681" w:val="left" w:leader="none"/>
        </w:tabs>
        <w:spacing w:line="240" w:lineRule="auto" w:before="142" w:after="0"/>
        <w:ind w:left="680" w:right="0" w:hanging="361"/>
        <w:jc w:val="left"/>
        <w:rPr>
          <w:rFonts w:ascii="Calibri" w:eastAsia="Calibri"/>
        </w:rPr>
      </w:pPr>
      <w:bookmarkStart w:name="_bookmark31" w:id="59"/>
      <w:bookmarkEnd w:id="59"/>
      <w:r>
        <w:rPr>
          <w:b w:val="0"/>
        </w:rPr>
      </w:r>
      <w:bookmarkStart w:name="_bookmark31" w:id="60"/>
      <w:bookmarkEnd w:id="60"/>
      <w:r>
        <w:rPr>
          <w:spacing w:val="-2"/>
        </w:rPr>
        <w:t>欠款的扣除</w:t>
      </w:r>
    </w:p>
    <w:p>
      <w:pPr>
        <w:spacing w:line="290" w:lineRule="auto" w:before="82"/>
        <w:ind w:left="320" w:right="313" w:firstLine="412"/>
        <w:jc w:val="left"/>
        <w:rPr>
          <w:rFonts w:ascii="Microsoft JhengHei" w:eastAsia="Microsoft JhengHei"/>
          <w:b/>
          <w:sz w:val="21"/>
        </w:rPr>
      </w:pPr>
      <w:r>
        <w:rPr>
          <w:rFonts w:ascii="Microsoft JhengHei" w:eastAsia="Microsoft JhengHei"/>
          <w:b/>
          <w:w w:val="100"/>
          <w:sz w:val="21"/>
        </w:rPr>
        <w:t>我们给付各项保险金或退还现金价值时，如果您有尚未偿还的保单贷款及利息或其他</w:t>
      </w:r>
      <w:r>
        <w:rPr>
          <w:rFonts w:ascii="Microsoft JhengHei" w:eastAsia="Microsoft JhengHei"/>
          <w:b/>
          <w:spacing w:val="-3"/>
          <w:w w:val="100"/>
          <w:sz w:val="21"/>
        </w:rPr>
        <w:t>未还清款项，我们将先行扣除上述欠款。</w:t>
      </w:r>
    </w:p>
    <w:p>
      <w:pPr>
        <w:pStyle w:val="BodyText"/>
        <w:spacing w:before="10"/>
        <w:rPr>
          <w:rFonts w:ascii="Microsoft JhengHei"/>
          <w:b/>
          <w:sz w:val="25"/>
        </w:rPr>
      </w:pPr>
    </w:p>
    <w:p>
      <w:pPr>
        <w:pStyle w:val="Heading2"/>
        <w:numPr>
          <w:ilvl w:val="0"/>
          <w:numId w:val="2"/>
        </w:numPr>
        <w:tabs>
          <w:tab w:pos="681" w:val="left" w:leader="none"/>
        </w:tabs>
        <w:spacing w:line="240" w:lineRule="auto" w:before="0" w:after="0"/>
        <w:ind w:left="680" w:right="0" w:hanging="361"/>
        <w:jc w:val="left"/>
        <w:rPr>
          <w:rFonts w:ascii="Calibri" w:eastAsia="Calibri"/>
        </w:rPr>
      </w:pPr>
      <w:bookmarkStart w:name="_bookmark32" w:id="61"/>
      <w:bookmarkEnd w:id="61"/>
      <w:r>
        <w:rPr>
          <w:b w:val="0"/>
        </w:rPr>
      </w:r>
      <w:bookmarkStart w:name="_bookmark32" w:id="62"/>
      <w:bookmarkEnd w:id="62"/>
      <w:r>
        <w:rPr>
          <w:spacing w:val="-3"/>
        </w:rPr>
        <w:t>宣告死亡</w:t>
      </w:r>
    </w:p>
    <w:p>
      <w:pPr>
        <w:pStyle w:val="BodyText"/>
        <w:spacing w:line="417" w:lineRule="auto" w:before="151"/>
        <w:ind w:left="320" w:right="311" w:firstLine="419"/>
      </w:pPr>
      <w:r>
        <w:rPr>
          <w:spacing w:val="-7"/>
        </w:rPr>
        <w:t>被保险人被宣告死亡的，我们以法院判决宣告之日为其死亡的日期，依本合同约定给付</w:t>
      </w:r>
      <w:r>
        <w:rPr>
          <w:spacing w:val="-4"/>
        </w:rPr>
        <w:t>保险金。</w:t>
      </w:r>
    </w:p>
    <w:p>
      <w:pPr>
        <w:pStyle w:val="BodyText"/>
        <w:spacing w:line="417" w:lineRule="auto"/>
        <w:ind w:left="320" w:right="311" w:firstLine="419"/>
      </w:pPr>
      <w:r>
        <w:rPr>
          <w:spacing w:val="-7"/>
        </w:rPr>
        <w:t>如果被保险人被宣告死亡之日在保险期间之外，但有证据证明下落不明之日在保险期间</w:t>
      </w:r>
      <w:r>
        <w:rPr>
          <w:spacing w:val="-2"/>
        </w:rPr>
        <w:t>之内，我们依本合同约定给付保险金。</w:t>
      </w:r>
    </w:p>
    <w:p>
      <w:pPr>
        <w:pStyle w:val="BodyText"/>
        <w:spacing w:line="417" w:lineRule="auto"/>
        <w:ind w:left="320" w:right="311" w:firstLine="419"/>
      </w:pPr>
      <w:r>
        <w:rPr>
          <w:spacing w:val="-9"/>
        </w:rPr>
        <w:t>如果领取身故保险金后，发现被保险人仍然生存，保险金领受人应于知道被保险人仍然</w:t>
      </w:r>
      <w:r>
        <w:rPr>
          <w:spacing w:val="-4"/>
        </w:rPr>
        <w:t>生存之日起 </w:t>
      </w:r>
      <w:r>
        <w:rPr>
          <w:rFonts w:ascii="Calibri" w:eastAsia="Calibri"/>
        </w:rPr>
        <w:t>30 </w:t>
      </w:r>
      <w:r>
        <w:rPr/>
        <w:t>日内将该笔保险金归还我们。</w:t>
      </w:r>
    </w:p>
    <w:p>
      <w:pPr>
        <w:pStyle w:val="BodyText"/>
        <w:spacing w:before="11"/>
        <w:rPr>
          <w:sz w:val="31"/>
        </w:rPr>
      </w:pPr>
    </w:p>
    <w:p>
      <w:pPr>
        <w:pStyle w:val="Heading1"/>
        <w:tabs>
          <w:tab w:pos="839" w:val="left" w:leader="none"/>
        </w:tabs>
        <w:ind w:left="0"/>
      </w:pPr>
      <w:bookmarkStart w:name="_bookmark33" w:id="63"/>
      <w:bookmarkEnd w:id="63"/>
      <w:r>
        <w:rPr>
          <w:b w:val="0"/>
        </w:rPr>
      </w:r>
      <w:r>
        <w:rPr/>
        <w:t>五</w:t>
      </w:r>
      <w:r>
        <w:rPr>
          <w:spacing w:val="-10"/>
        </w:rPr>
        <w:t>、</w:t>
      </w:r>
      <w:r>
        <w:rPr/>
        <w:tab/>
        <w:t>其</w:t>
      </w:r>
      <w:r>
        <w:rPr>
          <w:spacing w:val="-10"/>
        </w:rPr>
        <w:t>他</w:t>
      </w:r>
    </w:p>
    <w:p>
      <w:pPr>
        <w:pStyle w:val="BodyText"/>
        <w:spacing w:before="6"/>
        <w:rPr>
          <w:rFonts w:ascii="Microsoft JhengHei"/>
          <w:b/>
          <w:sz w:val="22"/>
        </w:rPr>
      </w:pPr>
    </w:p>
    <w:p>
      <w:pPr>
        <w:pStyle w:val="Heading2"/>
        <w:numPr>
          <w:ilvl w:val="0"/>
          <w:numId w:val="2"/>
        </w:numPr>
        <w:tabs>
          <w:tab w:pos="681" w:val="left" w:leader="none"/>
        </w:tabs>
        <w:spacing w:line="240" w:lineRule="auto" w:before="1" w:after="0"/>
        <w:ind w:left="680" w:right="0" w:hanging="361"/>
        <w:jc w:val="left"/>
        <w:rPr>
          <w:rFonts w:ascii="Calibri" w:eastAsia="Calibri"/>
        </w:rPr>
      </w:pPr>
      <w:bookmarkStart w:name="_bookmark34" w:id="64"/>
      <w:bookmarkEnd w:id="64"/>
      <w:r>
        <w:rPr>
          <w:b w:val="0"/>
        </w:rPr>
      </w:r>
      <w:bookmarkStart w:name="_bookmark34" w:id="65"/>
      <w:bookmarkEnd w:id="65"/>
      <w:r>
        <w:rPr>
          <w:spacing w:val="-2"/>
        </w:rPr>
        <w:t>明确说明与如实告知</w:t>
      </w:r>
    </w:p>
    <w:p>
      <w:pPr>
        <w:spacing w:after="0" w:line="240" w:lineRule="auto"/>
        <w:jc w:val="left"/>
        <w:rPr>
          <w:rFonts w:ascii="Calibri" w:eastAsia="Calibri"/>
        </w:rPr>
        <w:sectPr>
          <w:pgSz w:w="11910" w:h="16840"/>
          <w:pgMar w:header="0" w:footer="1005" w:top="1460" w:bottom="1200" w:left="1480" w:right="1480"/>
        </w:sectPr>
      </w:pPr>
    </w:p>
    <w:p>
      <w:pPr>
        <w:pStyle w:val="BodyText"/>
        <w:spacing w:before="61"/>
        <w:ind w:left="740"/>
      </w:pPr>
      <w:r>
        <w:rPr>
          <w:spacing w:val="-3"/>
        </w:rPr>
        <w:t>订立本合同时，我们应向您说明本合同的内容。</w:t>
      </w:r>
    </w:p>
    <w:p>
      <w:pPr>
        <w:pStyle w:val="BodyText"/>
        <w:spacing w:before="7"/>
        <w:rPr>
          <w:sz w:val="15"/>
        </w:rPr>
      </w:pPr>
    </w:p>
    <w:p>
      <w:pPr>
        <w:pStyle w:val="BodyText"/>
        <w:spacing w:line="417" w:lineRule="auto"/>
        <w:ind w:left="320" w:right="311" w:firstLine="419"/>
        <w:jc w:val="both"/>
      </w:pPr>
      <w:r>
        <w:rPr>
          <w:spacing w:val="-8"/>
        </w:rPr>
        <w:t>对保险条款中免除我们责任的条款，我们在订立合同时应当在投保单、保险单或者其他</w:t>
      </w:r>
      <w:r>
        <w:rPr>
          <w:spacing w:val="-8"/>
        </w:rPr>
        <w:t>保险凭证上作出足以引起您注意的提示，并对该条款的内容以书面或者口头形式向您作出明</w:t>
      </w:r>
      <w:r>
        <w:rPr>
          <w:spacing w:val="-2"/>
        </w:rPr>
        <w:t>确说明，未作提示或者明确说明的，该条款不产生效力。</w:t>
      </w:r>
    </w:p>
    <w:p>
      <w:pPr>
        <w:spacing w:line="316" w:lineRule="exact" w:before="0"/>
        <w:ind w:left="740" w:right="0" w:firstLine="0"/>
        <w:jc w:val="left"/>
        <w:rPr>
          <w:rFonts w:ascii="Microsoft JhengHei" w:eastAsia="Microsoft JhengHei"/>
          <w:b/>
          <w:sz w:val="21"/>
        </w:rPr>
      </w:pPr>
      <w:r>
        <w:rPr>
          <w:rFonts w:ascii="Microsoft JhengHei" w:eastAsia="Microsoft JhengHei"/>
          <w:b/>
          <w:spacing w:val="-3"/>
          <w:sz w:val="21"/>
        </w:rPr>
        <w:t>订立本合同或复效时，我们就您和被保险人的有关情况提出询问，您应当如实告知。</w:t>
      </w:r>
    </w:p>
    <w:p>
      <w:pPr>
        <w:spacing w:line="290" w:lineRule="auto" w:before="82"/>
        <w:ind w:left="320" w:right="314" w:firstLine="419"/>
        <w:jc w:val="left"/>
        <w:rPr>
          <w:rFonts w:ascii="Microsoft JhengHei" w:eastAsia="Microsoft JhengHei"/>
          <w:b/>
          <w:sz w:val="21"/>
        </w:rPr>
      </w:pPr>
      <w:r>
        <w:rPr>
          <w:rFonts w:ascii="Microsoft JhengHei" w:eastAsia="Microsoft JhengHei"/>
          <w:b/>
          <w:spacing w:val="-2"/>
          <w:sz w:val="21"/>
        </w:rPr>
        <w:t>如果您故意或者因重大过失未履行前款规定的如实告知义务，足以影响我们决定是否</w:t>
      </w:r>
      <w:r>
        <w:rPr>
          <w:rFonts w:ascii="Microsoft JhengHei" w:eastAsia="Microsoft JhengHei"/>
          <w:b/>
          <w:spacing w:val="-2"/>
          <w:sz w:val="21"/>
        </w:rPr>
        <w:t>同意承保或者提高保险费率的，我们有权解除本合同。</w:t>
      </w:r>
    </w:p>
    <w:p>
      <w:pPr>
        <w:spacing w:line="290" w:lineRule="auto" w:before="1"/>
        <w:ind w:left="320" w:right="314" w:firstLine="419"/>
        <w:jc w:val="left"/>
        <w:rPr>
          <w:rFonts w:ascii="Microsoft JhengHei" w:eastAsia="Microsoft JhengHei"/>
          <w:b/>
          <w:sz w:val="21"/>
        </w:rPr>
      </w:pPr>
      <w:r>
        <w:rPr>
          <w:rFonts w:ascii="Microsoft JhengHei" w:eastAsia="Microsoft JhengHei"/>
          <w:b/>
          <w:spacing w:val="-2"/>
          <w:sz w:val="21"/>
        </w:rPr>
        <w:t>如果您故意不履行如实告知义务，对于本合同解除前发生的保险事故，我们不承担给</w:t>
      </w:r>
      <w:r>
        <w:rPr>
          <w:rFonts w:ascii="Microsoft JhengHei" w:eastAsia="Microsoft JhengHei"/>
          <w:b/>
          <w:spacing w:val="-2"/>
          <w:sz w:val="21"/>
        </w:rPr>
        <w:t>付保险金的责任，并不退还保险费。</w:t>
      </w:r>
    </w:p>
    <w:p>
      <w:pPr>
        <w:spacing w:line="290" w:lineRule="auto" w:before="2"/>
        <w:ind w:left="320" w:right="318" w:firstLine="419"/>
        <w:jc w:val="both"/>
        <w:rPr>
          <w:rFonts w:ascii="Microsoft JhengHei" w:eastAsia="Microsoft JhengHei"/>
          <w:b/>
          <w:sz w:val="21"/>
        </w:rPr>
      </w:pPr>
      <w:r>
        <w:rPr>
          <w:rFonts w:ascii="Microsoft JhengHei" w:eastAsia="Microsoft JhengHei"/>
          <w:b/>
          <w:spacing w:val="-2"/>
          <w:sz w:val="21"/>
        </w:rPr>
        <w:t>如果您因重大过失未履行如实告知义务，对保险事故的发生有严重影响的，对于本合</w:t>
      </w:r>
      <w:r>
        <w:rPr>
          <w:rFonts w:ascii="Microsoft JhengHei" w:eastAsia="Microsoft JhengHei"/>
          <w:b/>
          <w:spacing w:val="-2"/>
          <w:sz w:val="21"/>
        </w:rPr>
        <w:t>同解除前发生的保险事故，我们不承担给付保险金的责任，但应当无息退还您已缴纳的保</w:t>
      </w:r>
      <w:r>
        <w:rPr>
          <w:rFonts w:ascii="Microsoft JhengHei" w:eastAsia="Microsoft JhengHei"/>
          <w:b/>
          <w:spacing w:val="-4"/>
          <w:sz w:val="21"/>
        </w:rPr>
        <w:t>险费。</w:t>
      </w:r>
    </w:p>
    <w:p>
      <w:pPr>
        <w:pStyle w:val="BodyText"/>
        <w:spacing w:line="417" w:lineRule="auto" w:before="72"/>
        <w:ind w:left="320" w:right="311" w:firstLine="419"/>
      </w:pPr>
      <w:r>
        <w:rPr>
          <w:spacing w:val="-4"/>
        </w:rPr>
        <w:t>我们在合同订立时已经知道您未如实告知的情况的，我们不得解除合同；发生保险事故</w:t>
      </w:r>
      <w:r>
        <w:rPr>
          <w:spacing w:val="-2"/>
        </w:rPr>
        <w:t>的，我们承担给付保险金的责任。</w:t>
      </w:r>
    </w:p>
    <w:p>
      <w:pPr>
        <w:pStyle w:val="BodyText"/>
        <w:rPr>
          <w:sz w:val="20"/>
        </w:rPr>
      </w:pPr>
    </w:p>
    <w:p>
      <w:pPr>
        <w:pStyle w:val="Heading2"/>
        <w:numPr>
          <w:ilvl w:val="0"/>
          <w:numId w:val="2"/>
        </w:numPr>
        <w:tabs>
          <w:tab w:pos="681" w:val="left" w:leader="none"/>
        </w:tabs>
        <w:spacing w:line="240" w:lineRule="auto" w:before="142" w:after="0"/>
        <w:ind w:left="680" w:right="0" w:hanging="361"/>
        <w:jc w:val="left"/>
        <w:rPr>
          <w:rFonts w:ascii="Calibri" w:eastAsia="Calibri"/>
        </w:rPr>
      </w:pPr>
      <w:bookmarkStart w:name="_bookmark35" w:id="66"/>
      <w:bookmarkEnd w:id="66"/>
      <w:r>
        <w:rPr>
          <w:b w:val="0"/>
        </w:rPr>
      </w:r>
      <w:bookmarkStart w:name="_bookmark35" w:id="67"/>
      <w:bookmarkEnd w:id="67"/>
      <w:r>
        <w:rPr>
          <w:spacing w:val="-3"/>
        </w:rPr>
        <w:t>我们行使合同解除权的限制</w:t>
      </w:r>
    </w:p>
    <w:p>
      <w:pPr>
        <w:pStyle w:val="BodyText"/>
        <w:spacing w:before="151"/>
        <w:ind w:left="740"/>
      </w:pPr>
      <w:r>
        <w:rPr>
          <w:spacing w:val="-4"/>
        </w:rPr>
        <w:t>前条规定的合同解除权，自我们知道有解除事由之日起，超过 </w:t>
      </w:r>
      <w:r>
        <w:rPr>
          <w:rFonts w:ascii="Calibri" w:eastAsia="Calibri"/>
          <w:spacing w:val="-2"/>
        </w:rPr>
        <w:t>30</w:t>
      </w:r>
      <w:r>
        <w:rPr>
          <w:rFonts w:ascii="Calibri" w:eastAsia="Calibri"/>
          <w:spacing w:val="24"/>
        </w:rPr>
        <w:t> </w:t>
      </w:r>
      <w:r>
        <w:rPr>
          <w:spacing w:val="-3"/>
        </w:rPr>
        <w:t>日不行使而消灭。自</w:t>
      </w:r>
    </w:p>
    <w:p>
      <w:pPr>
        <w:pStyle w:val="BodyText"/>
        <w:spacing w:before="7"/>
        <w:rPr>
          <w:sz w:val="15"/>
        </w:rPr>
      </w:pPr>
    </w:p>
    <w:p>
      <w:pPr>
        <w:pStyle w:val="BodyText"/>
        <w:spacing w:line="417" w:lineRule="auto"/>
        <w:ind w:left="320" w:right="313"/>
      </w:pPr>
      <w:r>
        <w:rPr>
          <w:spacing w:val="-7"/>
        </w:rPr>
        <w:t>本合同生效之日起超过 </w:t>
      </w:r>
      <w:r>
        <w:rPr>
          <w:rFonts w:ascii="Calibri" w:eastAsia="Calibri"/>
          <w:spacing w:val="-2"/>
        </w:rPr>
        <w:t>2</w:t>
      </w:r>
      <w:r>
        <w:rPr>
          <w:rFonts w:ascii="Calibri" w:eastAsia="Calibri"/>
          <w:spacing w:val="-10"/>
        </w:rPr>
        <w:t> </w:t>
      </w:r>
      <w:r>
        <w:rPr>
          <w:spacing w:val="-2"/>
        </w:rPr>
        <w:t>年的，我们不得解除合同；发生保险事故的，我们承担给付保险金</w:t>
      </w:r>
      <w:r>
        <w:rPr>
          <w:spacing w:val="-4"/>
        </w:rPr>
        <w:t>的责任。</w:t>
      </w:r>
    </w:p>
    <w:p>
      <w:pPr>
        <w:pStyle w:val="BodyText"/>
        <w:rPr>
          <w:sz w:val="20"/>
        </w:rPr>
      </w:pPr>
    </w:p>
    <w:p>
      <w:pPr>
        <w:pStyle w:val="Heading2"/>
        <w:numPr>
          <w:ilvl w:val="0"/>
          <w:numId w:val="2"/>
        </w:numPr>
        <w:tabs>
          <w:tab w:pos="681" w:val="left" w:leader="none"/>
        </w:tabs>
        <w:spacing w:line="240" w:lineRule="auto" w:before="143" w:after="0"/>
        <w:ind w:left="680" w:right="0" w:hanging="361"/>
        <w:jc w:val="left"/>
        <w:rPr>
          <w:rFonts w:ascii="Calibri" w:eastAsia="Calibri"/>
        </w:rPr>
      </w:pPr>
      <w:bookmarkStart w:name="_bookmark36" w:id="68"/>
      <w:bookmarkEnd w:id="68"/>
      <w:r>
        <w:rPr>
          <w:b w:val="0"/>
        </w:rPr>
      </w:r>
      <w:bookmarkStart w:name="_bookmark36" w:id="69"/>
      <w:bookmarkEnd w:id="69"/>
      <w:r>
        <w:rPr>
          <w:spacing w:val="-2"/>
        </w:rPr>
        <w:t>年龄性别错误处理</w:t>
      </w:r>
    </w:p>
    <w:p>
      <w:pPr>
        <w:pStyle w:val="BodyText"/>
        <w:spacing w:line="417" w:lineRule="auto" w:before="151"/>
        <w:ind w:left="320" w:right="311" w:firstLine="422"/>
      </w:pPr>
      <w:r>
        <w:rPr>
          <w:spacing w:val="-12"/>
        </w:rPr>
        <w:t>您在申请投保时，应将与有效身份证件相符的被保险人的出生日期和性别在投保单上填</w:t>
      </w:r>
      <w:r>
        <w:rPr>
          <w:spacing w:val="-2"/>
        </w:rPr>
        <w:t>明，如果发生错误按照下列方式办理：</w:t>
      </w:r>
    </w:p>
    <w:p>
      <w:pPr>
        <w:pStyle w:val="ListParagraph"/>
        <w:numPr>
          <w:ilvl w:val="0"/>
          <w:numId w:val="10"/>
        </w:numPr>
        <w:tabs>
          <w:tab w:pos="1365" w:val="left" w:leader="none"/>
        </w:tabs>
        <w:spacing w:line="317" w:lineRule="exact" w:before="0" w:after="0"/>
        <w:ind w:left="1364" w:right="0" w:hanging="625"/>
        <w:jc w:val="both"/>
        <w:rPr>
          <w:rFonts w:ascii="Microsoft JhengHei" w:eastAsia="Microsoft JhengHei"/>
          <w:b/>
          <w:sz w:val="21"/>
        </w:rPr>
      </w:pPr>
      <w:r>
        <w:rPr>
          <w:rFonts w:ascii="Microsoft JhengHei" w:eastAsia="Microsoft JhengHei"/>
          <w:b/>
          <w:spacing w:val="-1"/>
          <w:sz w:val="21"/>
        </w:rPr>
        <w:t>您申报的被保险人年龄不真实，并且其真实年龄不符合本合同约定投保年龄限</w:t>
      </w:r>
    </w:p>
    <w:p>
      <w:pPr>
        <w:spacing w:line="290" w:lineRule="auto" w:before="81"/>
        <w:ind w:left="1364" w:right="314" w:firstLine="0"/>
        <w:jc w:val="both"/>
        <w:rPr>
          <w:rFonts w:ascii="Microsoft JhengHei" w:hAnsi="Microsoft JhengHei" w:eastAsia="Microsoft JhengHei"/>
          <w:b/>
          <w:sz w:val="21"/>
        </w:rPr>
      </w:pPr>
      <w:r>
        <w:rPr>
          <w:rFonts w:ascii="Microsoft JhengHei" w:hAnsi="Microsoft JhengHei" w:eastAsia="Microsoft JhengHei"/>
          <w:b/>
          <w:spacing w:val="-2"/>
          <w:sz w:val="21"/>
        </w:rPr>
        <w:t>制的，我们有权解除本合同。对于解除本合同的，本合同自解除之日起终止，</w:t>
      </w:r>
      <w:r>
        <w:rPr>
          <w:rFonts w:ascii="Microsoft JhengHei" w:hAnsi="Microsoft JhengHei" w:eastAsia="Microsoft JhengHei"/>
          <w:b/>
          <w:spacing w:val="-2"/>
          <w:sz w:val="21"/>
        </w:rPr>
        <w:t>我们向您退还本合同终止时保单的账户价值。对于本合同解除前发生的保险事</w:t>
      </w:r>
      <w:r>
        <w:rPr>
          <w:rFonts w:ascii="Microsoft JhengHei" w:hAnsi="Microsoft JhengHei" w:eastAsia="Microsoft JhengHei"/>
          <w:b/>
          <w:spacing w:val="-2"/>
          <w:sz w:val="21"/>
        </w:rPr>
        <w:t>故，我们不承担给付保险金的责任。我们行使合同解除权适用</w:t>
      </w:r>
      <w:r>
        <w:rPr>
          <w:rFonts w:ascii="Calibri" w:hAnsi="Calibri" w:eastAsia="Calibri"/>
          <w:b/>
          <w:spacing w:val="-2"/>
          <w:sz w:val="21"/>
        </w:rPr>
        <w:t>“</w:t>
      </w:r>
      <w:r>
        <w:rPr>
          <w:rFonts w:ascii="Microsoft JhengHei" w:hAnsi="Microsoft JhengHei" w:eastAsia="Microsoft JhengHei"/>
          <w:b/>
          <w:spacing w:val="-2"/>
          <w:sz w:val="21"/>
        </w:rPr>
        <w:t>我们行使合同解</w:t>
      </w:r>
      <w:r>
        <w:rPr>
          <w:rFonts w:ascii="Microsoft JhengHei" w:hAnsi="Microsoft JhengHei" w:eastAsia="Microsoft JhengHei"/>
          <w:b/>
          <w:spacing w:val="-2"/>
          <w:sz w:val="21"/>
        </w:rPr>
        <w:t>除权的限制</w:t>
      </w:r>
      <w:r>
        <w:rPr>
          <w:rFonts w:ascii="Calibri" w:hAnsi="Calibri" w:eastAsia="Calibri"/>
          <w:b/>
          <w:spacing w:val="-2"/>
          <w:sz w:val="21"/>
        </w:rPr>
        <w:t>”</w:t>
      </w:r>
      <w:r>
        <w:rPr>
          <w:rFonts w:ascii="Microsoft JhengHei" w:hAnsi="Microsoft JhengHei" w:eastAsia="Microsoft JhengHei"/>
          <w:b/>
          <w:spacing w:val="-2"/>
          <w:sz w:val="21"/>
        </w:rPr>
        <w:t>的规定。</w:t>
      </w:r>
    </w:p>
    <w:p>
      <w:pPr>
        <w:pStyle w:val="ListParagraph"/>
        <w:numPr>
          <w:ilvl w:val="0"/>
          <w:numId w:val="10"/>
        </w:numPr>
        <w:tabs>
          <w:tab w:pos="1365" w:val="left" w:leader="none"/>
        </w:tabs>
        <w:spacing w:line="290" w:lineRule="auto" w:before="4" w:after="0"/>
        <w:ind w:left="1364" w:right="316" w:hanging="624"/>
        <w:jc w:val="both"/>
        <w:rPr>
          <w:rFonts w:ascii="Microsoft JhengHei" w:eastAsia="Microsoft JhengHei"/>
          <w:b/>
          <w:sz w:val="21"/>
        </w:rPr>
      </w:pPr>
      <w:r>
        <w:rPr>
          <w:rFonts w:ascii="Microsoft JhengHei" w:eastAsia="Microsoft JhengHei"/>
          <w:b/>
          <w:spacing w:val="-2"/>
          <w:sz w:val="21"/>
        </w:rPr>
        <w:t>您申报的被保险人年龄或者性别不真实，致使您实交风险保险费少于应交风险</w:t>
      </w:r>
      <w:r>
        <w:rPr>
          <w:rFonts w:ascii="Microsoft JhengHei" w:eastAsia="Microsoft JhengHei"/>
          <w:b/>
          <w:spacing w:val="-2"/>
          <w:sz w:val="21"/>
        </w:rPr>
        <w:t>保险费的，我们有权更正并要求您补交风险保险费。若已经发生保险事故，在</w:t>
      </w:r>
    </w:p>
    <w:p>
      <w:pPr>
        <w:spacing w:after="0" w:line="290" w:lineRule="auto"/>
        <w:jc w:val="both"/>
        <w:rPr>
          <w:rFonts w:ascii="Microsoft JhengHei" w:eastAsia="Microsoft JhengHei"/>
          <w:sz w:val="21"/>
        </w:rPr>
        <w:sectPr>
          <w:pgSz w:w="11910" w:h="16840"/>
          <w:pgMar w:header="0" w:footer="1005" w:top="1460" w:bottom="1200" w:left="1480" w:right="1480"/>
        </w:sectPr>
      </w:pPr>
    </w:p>
    <w:p>
      <w:pPr>
        <w:spacing w:line="290" w:lineRule="auto" w:before="0"/>
        <w:ind w:left="1364" w:right="316" w:firstLine="0"/>
        <w:jc w:val="left"/>
        <w:rPr>
          <w:rFonts w:ascii="Microsoft JhengHei" w:eastAsia="Microsoft JhengHei"/>
          <w:b/>
          <w:sz w:val="21"/>
        </w:rPr>
      </w:pPr>
      <w:r>
        <w:rPr>
          <w:rFonts w:ascii="Microsoft JhengHei" w:eastAsia="Microsoft JhengHei"/>
          <w:b/>
          <w:spacing w:val="-2"/>
          <w:sz w:val="21"/>
        </w:rPr>
        <w:t>给付保险金时，保险金超出账户价值的部分按最近一次实交风险保险费和应交</w:t>
      </w:r>
      <w:r>
        <w:rPr>
          <w:rFonts w:ascii="Microsoft JhengHei" w:eastAsia="Microsoft JhengHei"/>
          <w:b/>
          <w:spacing w:val="-2"/>
          <w:sz w:val="21"/>
        </w:rPr>
        <w:t>风险保险费的比例给付。</w:t>
      </w:r>
    </w:p>
    <w:p>
      <w:pPr>
        <w:pStyle w:val="ListParagraph"/>
        <w:numPr>
          <w:ilvl w:val="0"/>
          <w:numId w:val="10"/>
        </w:numPr>
        <w:tabs>
          <w:tab w:pos="1365" w:val="left" w:leader="none"/>
        </w:tabs>
        <w:spacing w:line="290" w:lineRule="auto" w:before="0" w:after="0"/>
        <w:ind w:left="1364" w:right="316" w:hanging="624"/>
        <w:jc w:val="left"/>
        <w:rPr>
          <w:rFonts w:ascii="Microsoft JhengHei" w:eastAsia="Microsoft JhengHei"/>
          <w:b/>
          <w:sz w:val="21"/>
        </w:rPr>
      </w:pPr>
      <w:r>
        <w:rPr>
          <w:rFonts w:ascii="Microsoft JhengHei" w:eastAsia="Microsoft JhengHei"/>
          <w:b/>
          <w:spacing w:val="-2"/>
          <w:sz w:val="21"/>
        </w:rPr>
        <w:t>您申报的被保险人年龄或者性别不真实，致使您实交风险保险费多于应交风险</w:t>
      </w:r>
      <w:r>
        <w:rPr>
          <w:rFonts w:ascii="Microsoft JhengHei" w:eastAsia="Microsoft JhengHei"/>
          <w:b/>
          <w:spacing w:val="-2"/>
          <w:sz w:val="21"/>
        </w:rPr>
        <w:t>保险费的，我们向您无息退还多收的风险保险费。</w:t>
      </w:r>
    </w:p>
    <w:p>
      <w:pPr>
        <w:pStyle w:val="BodyText"/>
        <w:spacing w:before="3"/>
        <w:rPr>
          <w:rFonts w:ascii="Microsoft JhengHei"/>
          <w:b/>
          <w:sz w:val="25"/>
        </w:rPr>
      </w:pPr>
    </w:p>
    <w:p>
      <w:pPr>
        <w:pStyle w:val="Heading2"/>
        <w:numPr>
          <w:ilvl w:val="0"/>
          <w:numId w:val="2"/>
        </w:numPr>
        <w:tabs>
          <w:tab w:pos="681" w:val="left" w:leader="none"/>
        </w:tabs>
        <w:spacing w:line="240" w:lineRule="auto" w:before="0" w:after="0"/>
        <w:ind w:left="680" w:right="0" w:hanging="361"/>
        <w:jc w:val="left"/>
        <w:rPr>
          <w:rFonts w:ascii="Calibri" w:eastAsia="Calibri"/>
        </w:rPr>
      </w:pPr>
      <w:bookmarkStart w:name="_bookmark37" w:id="70"/>
      <w:bookmarkEnd w:id="70"/>
      <w:r>
        <w:rPr>
          <w:b w:val="0"/>
        </w:rPr>
      </w:r>
      <w:bookmarkStart w:name="_bookmark37" w:id="71"/>
      <w:bookmarkEnd w:id="71"/>
      <w:r>
        <w:rPr>
          <w:spacing w:val="-2"/>
        </w:rPr>
        <w:t>联系方式变更</w:t>
      </w:r>
    </w:p>
    <w:p>
      <w:pPr>
        <w:pStyle w:val="BodyText"/>
        <w:spacing w:line="417" w:lineRule="auto" w:before="151"/>
        <w:ind w:left="320" w:right="311" w:firstLine="419"/>
        <w:jc w:val="both"/>
      </w:pPr>
      <w:r>
        <w:rPr>
          <w:spacing w:val="-4"/>
        </w:rPr>
        <w:t>为了保障您的合法权益，您的住所、通讯地址、电话或电子邮件等联系方式变更时，请</w:t>
      </w:r>
      <w:r>
        <w:rPr>
          <w:spacing w:val="-7"/>
        </w:rPr>
        <w:t>及时以书面形式或者双方认可的其他形式通知我们。若您未以书面形式或双方认可的其他形</w:t>
      </w:r>
      <w:r>
        <w:rPr>
          <w:spacing w:val="-4"/>
        </w:rPr>
        <w:t>式通知我们，则我们按本合同载明的或我们以其他方式记录的您的最后住所、通讯地址、电</w:t>
      </w:r>
      <w:r>
        <w:rPr>
          <w:spacing w:val="-2"/>
        </w:rPr>
        <w:t>话或电子邮件等发送的有关通知，均视为已送达给您。</w:t>
      </w:r>
    </w:p>
    <w:p>
      <w:pPr>
        <w:spacing w:line="317" w:lineRule="exact" w:before="0"/>
        <w:ind w:left="742" w:right="0" w:firstLine="0"/>
        <w:jc w:val="left"/>
        <w:rPr>
          <w:rFonts w:ascii="Microsoft JhengHei" w:eastAsia="Microsoft JhengHei"/>
          <w:b/>
          <w:sz w:val="21"/>
        </w:rPr>
      </w:pPr>
      <w:r>
        <w:rPr>
          <w:rFonts w:ascii="Microsoft JhengHei" w:eastAsia="Microsoft JhengHei"/>
          <w:b/>
          <w:spacing w:val="-1"/>
          <w:sz w:val="21"/>
        </w:rPr>
        <w:t>如果因您未能及时通知，而使您未能接受我们的服务，或我们无法提供给您相应的服</w:t>
      </w:r>
    </w:p>
    <w:p>
      <w:pPr>
        <w:spacing w:before="82"/>
        <w:ind w:left="320" w:right="0" w:firstLine="0"/>
        <w:jc w:val="left"/>
        <w:rPr>
          <w:rFonts w:ascii="Microsoft JhengHei" w:eastAsia="Microsoft JhengHei"/>
          <w:b/>
          <w:sz w:val="21"/>
        </w:rPr>
      </w:pPr>
      <w:r>
        <w:rPr>
          <w:rFonts w:ascii="Microsoft JhengHei" w:eastAsia="Microsoft JhengHei"/>
          <w:b/>
          <w:spacing w:val="-3"/>
          <w:sz w:val="21"/>
        </w:rPr>
        <w:t>务，由此导致的后果和损失，由您本人承担。</w:t>
      </w:r>
    </w:p>
    <w:p>
      <w:pPr>
        <w:pStyle w:val="BodyText"/>
        <w:spacing w:before="17"/>
        <w:rPr>
          <w:rFonts w:ascii="Microsoft JhengHei"/>
          <w:b/>
          <w:sz w:val="29"/>
        </w:rPr>
      </w:pPr>
    </w:p>
    <w:p>
      <w:pPr>
        <w:pStyle w:val="Heading2"/>
        <w:numPr>
          <w:ilvl w:val="0"/>
          <w:numId w:val="2"/>
        </w:numPr>
        <w:tabs>
          <w:tab w:pos="681" w:val="left" w:leader="none"/>
        </w:tabs>
        <w:spacing w:line="240" w:lineRule="auto" w:before="0" w:after="0"/>
        <w:ind w:left="680" w:right="0" w:hanging="361"/>
        <w:jc w:val="left"/>
        <w:rPr>
          <w:rFonts w:ascii="Calibri" w:eastAsia="Calibri"/>
        </w:rPr>
      </w:pPr>
      <w:bookmarkStart w:name="_bookmark38" w:id="72"/>
      <w:bookmarkEnd w:id="72"/>
      <w:r>
        <w:rPr>
          <w:b w:val="0"/>
        </w:rPr>
      </w:r>
      <w:bookmarkStart w:name="_bookmark38" w:id="73"/>
      <w:bookmarkEnd w:id="73"/>
      <w:r>
        <w:rPr>
          <w:spacing w:val="-2"/>
        </w:rPr>
        <w:t>本合同内容变更</w:t>
      </w:r>
    </w:p>
    <w:p>
      <w:pPr>
        <w:pStyle w:val="BodyText"/>
        <w:spacing w:line="417" w:lineRule="auto" w:before="151"/>
        <w:ind w:left="320" w:right="220" w:firstLine="419"/>
      </w:pPr>
      <w:r>
        <w:rPr>
          <w:spacing w:val="-2"/>
        </w:rPr>
        <w:t>您在本合同生效后，可根据我们的规定书面通知变更合同的内容，经我们审核同意，应</w:t>
      </w:r>
      <w:r>
        <w:rPr>
          <w:spacing w:val="-2"/>
        </w:rPr>
        <w:t>当由我们在原保单或其他保险凭证上批注，或者由您和我们订立变更合同内容的书面协议。</w:t>
      </w:r>
    </w:p>
    <w:p>
      <w:pPr>
        <w:pStyle w:val="BodyText"/>
        <w:spacing w:line="269" w:lineRule="exact"/>
        <w:ind w:left="740"/>
      </w:pPr>
      <w:r>
        <w:rPr>
          <w:spacing w:val="-3"/>
        </w:rPr>
        <w:t>如与本合同有关的信息发生变更，您需及时书面通知我们。</w:t>
      </w:r>
    </w:p>
    <w:p>
      <w:pPr>
        <w:pStyle w:val="BodyText"/>
        <w:spacing w:before="7"/>
        <w:rPr>
          <w:sz w:val="15"/>
        </w:rPr>
      </w:pPr>
    </w:p>
    <w:p>
      <w:pPr>
        <w:pStyle w:val="BodyText"/>
        <w:spacing w:line="417" w:lineRule="auto"/>
        <w:ind w:left="740" w:right="208"/>
      </w:pPr>
      <w:r>
        <w:rPr>
          <w:spacing w:val="-11"/>
        </w:rPr>
        <w:t>我们收到并决定接受您变更合同内容通知当日，变更内容生效，本合同另有约定的除外。</w:t>
      </w:r>
      <w:r>
        <w:rPr>
          <w:spacing w:val="-8"/>
        </w:rPr>
        <w:t>我们尚未收到您变更合同内容通知，或我们已经收到但尚未决定接受期间，被保险人死</w:t>
      </w:r>
    </w:p>
    <w:p>
      <w:pPr>
        <w:pStyle w:val="BodyText"/>
        <w:spacing w:line="269" w:lineRule="exact"/>
        <w:ind w:left="320"/>
      </w:pPr>
      <w:r>
        <w:rPr>
          <w:spacing w:val="-3"/>
        </w:rPr>
        <w:t>亡的，我们不再变更任何合同内容。</w:t>
      </w:r>
    </w:p>
    <w:p>
      <w:pPr>
        <w:pStyle w:val="BodyText"/>
        <w:rPr>
          <w:sz w:val="20"/>
        </w:rPr>
      </w:pPr>
    </w:p>
    <w:p>
      <w:pPr>
        <w:pStyle w:val="BodyText"/>
        <w:spacing w:before="8"/>
        <w:rPr>
          <w:sz w:val="26"/>
        </w:rPr>
      </w:pPr>
    </w:p>
    <w:p>
      <w:pPr>
        <w:pStyle w:val="Heading2"/>
        <w:numPr>
          <w:ilvl w:val="0"/>
          <w:numId w:val="2"/>
        </w:numPr>
        <w:tabs>
          <w:tab w:pos="681" w:val="left" w:leader="none"/>
        </w:tabs>
        <w:spacing w:line="240" w:lineRule="auto" w:before="0" w:after="0"/>
        <w:ind w:left="680" w:right="0" w:hanging="361"/>
        <w:jc w:val="left"/>
        <w:rPr>
          <w:rFonts w:ascii="Calibri" w:eastAsia="Calibri"/>
        </w:rPr>
      </w:pPr>
      <w:bookmarkStart w:name="_bookmark39" w:id="74"/>
      <w:bookmarkEnd w:id="74"/>
      <w:r>
        <w:rPr>
          <w:b w:val="0"/>
        </w:rPr>
      </w:r>
      <w:bookmarkStart w:name="_bookmark39" w:id="75"/>
      <w:bookmarkEnd w:id="75"/>
      <w:r>
        <w:rPr>
          <w:spacing w:val="-3"/>
        </w:rPr>
        <w:t>本合同效力的中止及恢复</w:t>
      </w:r>
    </w:p>
    <w:p>
      <w:pPr>
        <w:spacing w:line="290" w:lineRule="auto" w:before="82"/>
        <w:ind w:left="320" w:right="311" w:firstLine="422"/>
        <w:jc w:val="left"/>
        <w:rPr>
          <w:rFonts w:ascii="Microsoft JhengHei" w:eastAsia="Microsoft JhengHei"/>
          <w:b/>
          <w:sz w:val="21"/>
        </w:rPr>
      </w:pPr>
      <w:r>
        <w:rPr>
          <w:rFonts w:ascii="Microsoft JhengHei" w:eastAsia="Microsoft JhengHei"/>
          <w:b/>
          <w:spacing w:val="-2"/>
          <w:sz w:val="21"/>
        </w:rPr>
        <w:t>在本合同效力中止期间，我们不承担保险责任，并冻结个人账户。个人账户在宽限期</w:t>
      </w:r>
      <w:r>
        <w:rPr>
          <w:rFonts w:ascii="Microsoft JhengHei" w:eastAsia="Microsoft JhengHei"/>
          <w:b/>
          <w:spacing w:val="-2"/>
          <w:sz w:val="21"/>
        </w:rPr>
        <w:t>和本合同效力中止期间不进行利息结算。</w:t>
      </w:r>
    </w:p>
    <w:p>
      <w:pPr>
        <w:pStyle w:val="BodyText"/>
        <w:spacing w:line="417" w:lineRule="auto" w:before="71"/>
        <w:ind w:left="320" w:right="311" w:firstLine="419"/>
        <w:jc w:val="both"/>
      </w:pPr>
      <w:r>
        <w:rPr>
          <w:spacing w:val="-7"/>
        </w:rPr>
        <w:t>本合同效力中止后 </w:t>
      </w:r>
      <w:r>
        <w:rPr>
          <w:rFonts w:ascii="Calibri" w:eastAsia="Calibri"/>
          <w:spacing w:val="-4"/>
        </w:rPr>
        <w:t>2</w:t>
      </w:r>
      <w:r>
        <w:rPr>
          <w:rFonts w:ascii="Calibri" w:eastAsia="Calibri"/>
          <w:spacing w:val="5"/>
        </w:rPr>
        <w:t> </w:t>
      </w:r>
      <w:r>
        <w:rPr>
          <w:spacing w:val="-4"/>
        </w:rPr>
        <w:t>年内，您可以申请恢复合同效力。经我们与您协商并达成协议，在</w:t>
      </w:r>
      <w:r>
        <w:rPr>
          <w:spacing w:val="-4"/>
        </w:rPr>
        <w:t>您补交风险保险费及其他未还款项之日起，合同效力恢复。账户价值自效力恢复之日起按照</w:t>
      </w:r>
      <w:r>
        <w:rPr>
          <w:spacing w:val="-2"/>
        </w:rPr>
        <w:t>公布的结算利率开始计息。</w:t>
      </w:r>
    </w:p>
    <w:p>
      <w:pPr>
        <w:spacing w:line="317" w:lineRule="exact" w:before="0"/>
        <w:ind w:left="742" w:right="0" w:firstLine="0"/>
        <w:jc w:val="left"/>
        <w:rPr>
          <w:rFonts w:ascii="Microsoft JhengHei" w:eastAsia="Microsoft JhengHei"/>
          <w:b/>
          <w:sz w:val="21"/>
        </w:rPr>
      </w:pPr>
      <w:r>
        <w:rPr>
          <w:rFonts w:ascii="Microsoft JhengHei" w:eastAsia="Microsoft JhengHei"/>
          <w:b/>
          <w:spacing w:val="2"/>
          <w:sz w:val="21"/>
        </w:rPr>
        <w:t>自本合同效力中止之日起满 </w:t>
      </w:r>
      <w:r>
        <w:rPr>
          <w:rFonts w:ascii="Calibri" w:eastAsia="Calibri"/>
          <w:b/>
          <w:sz w:val="21"/>
        </w:rPr>
        <w:t>2</w:t>
      </w:r>
      <w:r>
        <w:rPr>
          <w:rFonts w:ascii="Calibri" w:eastAsia="Calibri"/>
          <w:b/>
          <w:spacing w:val="36"/>
          <w:sz w:val="21"/>
        </w:rPr>
        <w:t> </w:t>
      </w:r>
      <w:r>
        <w:rPr>
          <w:rFonts w:ascii="Microsoft JhengHei" w:eastAsia="Microsoft JhengHei"/>
          <w:b/>
          <w:spacing w:val="-1"/>
          <w:sz w:val="21"/>
        </w:rPr>
        <w:t>年您和我们未达成协议的，我们有权解除合同。我们解</w:t>
      </w:r>
    </w:p>
    <w:p>
      <w:pPr>
        <w:spacing w:before="82"/>
        <w:ind w:left="320" w:right="0" w:firstLine="0"/>
        <w:jc w:val="left"/>
        <w:rPr>
          <w:rFonts w:ascii="Microsoft JhengHei" w:eastAsia="Microsoft JhengHei"/>
          <w:b/>
          <w:sz w:val="21"/>
        </w:rPr>
      </w:pPr>
      <w:r>
        <w:rPr>
          <w:rFonts w:ascii="Microsoft JhengHei" w:eastAsia="Microsoft JhengHei"/>
          <w:b/>
          <w:spacing w:val="-3"/>
          <w:sz w:val="21"/>
        </w:rPr>
        <w:t>除合同的，向您无息退还本合同效力中止时保单的账户价值。</w:t>
      </w:r>
    </w:p>
    <w:p>
      <w:pPr>
        <w:spacing w:after="0"/>
        <w:jc w:val="left"/>
        <w:rPr>
          <w:rFonts w:ascii="Microsoft JhengHei" w:eastAsia="Microsoft JhengHei"/>
          <w:sz w:val="21"/>
        </w:rPr>
        <w:sectPr>
          <w:pgSz w:w="11910" w:h="16840"/>
          <w:pgMar w:header="0" w:footer="1005" w:top="1460" w:bottom="1200" w:left="1480" w:right="1480"/>
        </w:sectPr>
      </w:pPr>
    </w:p>
    <w:p>
      <w:pPr>
        <w:pStyle w:val="Heading2"/>
        <w:numPr>
          <w:ilvl w:val="0"/>
          <w:numId w:val="2"/>
        </w:numPr>
        <w:tabs>
          <w:tab w:pos="681" w:val="left" w:leader="none"/>
        </w:tabs>
        <w:spacing w:line="378" w:lineRule="exact" w:before="0" w:after="0"/>
        <w:ind w:left="680" w:right="0" w:hanging="361"/>
        <w:jc w:val="left"/>
        <w:rPr>
          <w:rFonts w:ascii="Calibri" w:eastAsia="Calibri"/>
        </w:rPr>
      </w:pPr>
      <w:bookmarkStart w:name="_bookmark40" w:id="76"/>
      <w:bookmarkEnd w:id="76"/>
      <w:r>
        <w:rPr>
          <w:b w:val="0"/>
        </w:rPr>
      </w:r>
      <w:bookmarkStart w:name="_bookmark40" w:id="77"/>
      <w:bookmarkEnd w:id="77"/>
      <w:r>
        <w:rPr>
          <w:spacing w:val="-2"/>
        </w:rPr>
        <w:t>本合同的终止</w:t>
      </w:r>
    </w:p>
    <w:p>
      <w:pPr>
        <w:pStyle w:val="BodyText"/>
        <w:spacing w:before="151"/>
        <w:ind w:left="740"/>
      </w:pPr>
      <w:r>
        <w:rPr>
          <w:spacing w:val="-3"/>
        </w:rPr>
        <w:t>发生下列情况之一时，本合同终止：</w:t>
      </w:r>
    </w:p>
    <w:p>
      <w:pPr>
        <w:pStyle w:val="BodyText"/>
        <w:spacing w:before="7"/>
        <w:rPr>
          <w:sz w:val="15"/>
        </w:rPr>
      </w:pPr>
    </w:p>
    <w:p>
      <w:pPr>
        <w:pStyle w:val="ListParagraph"/>
        <w:numPr>
          <w:ilvl w:val="0"/>
          <w:numId w:val="11"/>
        </w:numPr>
        <w:tabs>
          <w:tab w:pos="1161" w:val="left" w:leader="none"/>
        </w:tabs>
        <w:spacing w:line="240" w:lineRule="auto" w:before="0" w:after="0"/>
        <w:ind w:left="1160" w:right="0" w:hanging="558"/>
        <w:jc w:val="left"/>
        <w:rPr>
          <w:sz w:val="21"/>
        </w:rPr>
      </w:pPr>
      <w:r>
        <w:rPr>
          <w:spacing w:val="-3"/>
          <w:sz w:val="21"/>
        </w:rPr>
        <w:t>您于本合同有效期内向我们申请解除合同的；</w:t>
      </w:r>
    </w:p>
    <w:p>
      <w:pPr>
        <w:pStyle w:val="BodyText"/>
        <w:spacing w:before="7"/>
        <w:rPr>
          <w:sz w:val="15"/>
        </w:rPr>
      </w:pPr>
    </w:p>
    <w:p>
      <w:pPr>
        <w:pStyle w:val="ListParagraph"/>
        <w:numPr>
          <w:ilvl w:val="0"/>
          <w:numId w:val="11"/>
        </w:numPr>
        <w:tabs>
          <w:tab w:pos="1161" w:val="left" w:leader="none"/>
        </w:tabs>
        <w:spacing w:line="240" w:lineRule="auto" w:before="0" w:after="0"/>
        <w:ind w:left="1160" w:right="0" w:hanging="558"/>
        <w:jc w:val="left"/>
        <w:rPr>
          <w:sz w:val="21"/>
        </w:rPr>
      </w:pPr>
      <w:r>
        <w:rPr>
          <w:spacing w:val="-3"/>
          <w:sz w:val="21"/>
        </w:rPr>
        <w:t>本合同约定的其他效力终止的情况。</w:t>
      </w:r>
    </w:p>
    <w:p>
      <w:pPr>
        <w:pStyle w:val="BodyText"/>
        <w:rPr>
          <w:sz w:val="22"/>
        </w:rPr>
      </w:pPr>
    </w:p>
    <w:p>
      <w:pPr>
        <w:pStyle w:val="Heading2"/>
        <w:numPr>
          <w:ilvl w:val="0"/>
          <w:numId w:val="2"/>
        </w:numPr>
        <w:tabs>
          <w:tab w:pos="681" w:val="left" w:leader="none"/>
        </w:tabs>
        <w:spacing w:line="240" w:lineRule="auto" w:before="160" w:after="0"/>
        <w:ind w:left="680" w:right="0" w:hanging="361"/>
        <w:jc w:val="left"/>
        <w:rPr>
          <w:rFonts w:ascii="Calibri" w:eastAsia="Calibri"/>
        </w:rPr>
      </w:pPr>
      <w:bookmarkStart w:name="_bookmark41" w:id="78"/>
      <w:bookmarkEnd w:id="78"/>
      <w:r>
        <w:rPr>
          <w:b w:val="0"/>
        </w:rPr>
      </w:r>
      <w:bookmarkStart w:name="_bookmark41" w:id="79"/>
      <w:bookmarkEnd w:id="79"/>
      <w:r>
        <w:rPr>
          <w:spacing w:val="-3"/>
        </w:rPr>
        <w:t>诉讼时效</w:t>
      </w:r>
    </w:p>
    <w:p>
      <w:pPr>
        <w:pStyle w:val="BodyText"/>
        <w:spacing w:line="417" w:lineRule="auto" w:before="151"/>
        <w:ind w:left="320" w:right="313" w:firstLine="419"/>
      </w:pPr>
      <w:r>
        <w:rPr>
          <w:spacing w:val="-3"/>
        </w:rPr>
        <w:t>受益人向我们请求给付保险金的诉讼时效期间为 </w:t>
      </w:r>
      <w:r>
        <w:rPr>
          <w:rFonts w:ascii="Calibri" w:eastAsia="Calibri"/>
        </w:rPr>
        <w:t>5</w:t>
      </w:r>
      <w:r>
        <w:rPr>
          <w:rFonts w:ascii="Calibri" w:eastAsia="Calibri"/>
          <w:spacing w:val="-12"/>
        </w:rPr>
        <w:t> </w:t>
      </w:r>
      <w:r>
        <w:rPr>
          <w:spacing w:val="-11"/>
        </w:rPr>
        <w:t>年，自其知道或应当知道保险事故发</w:t>
      </w:r>
      <w:r>
        <w:rPr>
          <w:spacing w:val="-2"/>
        </w:rPr>
        <w:t>生之日起计算。</w:t>
      </w:r>
    </w:p>
    <w:p>
      <w:pPr>
        <w:pStyle w:val="BodyText"/>
        <w:spacing w:before="12"/>
        <w:rPr>
          <w:sz w:val="18"/>
        </w:rPr>
      </w:pPr>
    </w:p>
    <w:p>
      <w:pPr>
        <w:pStyle w:val="Heading2"/>
        <w:numPr>
          <w:ilvl w:val="0"/>
          <w:numId w:val="2"/>
        </w:numPr>
        <w:tabs>
          <w:tab w:pos="681" w:val="left" w:leader="none"/>
        </w:tabs>
        <w:spacing w:line="240" w:lineRule="auto" w:before="0" w:after="0"/>
        <w:ind w:left="680" w:right="0" w:hanging="361"/>
        <w:jc w:val="left"/>
        <w:rPr>
          <w:rFonts w:ascii="Calibri" w:eastAsia="Calibri"/>
        </w:rPr>
      </w:pPr>
      <w:bookmarkStart w:name="_bookmark42" w:id="80"/>
      <w:bookmarkEnd w:id="80"/>
      <w:r>
        <w:rPr>
          <w:b w:val="0"/>
        </w:rPr>
      </w:r>
      <w:bookmarkStart w:name="_bookmark42" w:id="81"/>
      <w:bookmarkEnd w:id="81"/>
      <w:r>
        <w:rPr>
          <w:spacing w:val="-2"/>
        </w:rPr>
        <w:t>客户信息保密</w:t>
      </w:r>
    </w:p>
    <w:p>
      <w:pPr>
        <w:pStyle w:val="BodyText"/>
        <w:spacing w:line="417" w:lineRule="auto" w:before="151"/>
        <w:ind w:left="320" w:right="220" w:firstLine="419"/>
      </w:pPr>
      <w:r>
        <w:rPr>
          <w:spacing w:val="-2"/>
        </w:rPr>
        <w:t>本合同项下的一切内容、保单记载、客户信息等资料，均构成商业秘密，我们将严密保</w:t>
      </w:r>
      <w:r>
        <w:rPr>
          <w:spacing w:val="-2"/>
        </w:rPr>
        <w:t>护，未经您本人授权，我们不向任何人、任何机构、任何媒体泄露。但是，以下情形除外：</w:t>
      </w:r>
    </w:p>
    <w:p>
      <w:pPr>
        <w:pStyle w:val="ListParagraph"/>
        <w:numPr>
          <w:ilvl w:val="0"/>
          <w:numId w:val="12"/>
        </w:numPr>
        <w:tabs>
          <w:tab w:pos="1161" w:val="left" w:leader="none"/>
        </w:tabs>
        <w:spacing w:line="417" w:lineRule="auto" w:before="0" w:after="0"/>
        <w:ind w:left="320" w:right="311" w:firstLine="287"/>
        <w:jc w:val="left"/>
        <w:rPr>
          <w:sz w:val="21"/>
        </w:rPr>
      </w:pPr>
      <w:r>
        <w:rPr>
          <w:spacing w:val="-4"/>
          <w:sz w:val="21"/>
        </w:rPr>
        <w:t>侦查机关、国家安全机关、检察机关、监察机关、人民法院、仲裁机构等司法部门</w:t>
      </w:r>
      <w:r>
        <w:rPr>
          <w:spacing w:val="-2"/>
          <w:sz w:val="21"/>
        </w:rPr>
        <w:t>依法要求我们提供；</w:t>
      </w:r>
    </w:p>
    <w:p>
      <w:pPr>
        <w:pStyle w:val="ListParagraph"/>
        <w:numPr>
          <w:ilvl w:val="0"/>
          <w:numId w:val="12"/>
        </w:numPr>
        <w:tabs>
          <w:tab w:pos="1161" w:val="left" w:leader="none"/>
        </w:tabs>
        <w:spacing w:line="269" w:lineRule="exact" w:before="0" w:after="0"/>
        <w:ind w:left="1160" w:right="0" w:hanging="553"/>
        <w:jc w:val="left"/>
        <w:rPr>
          <w:sz w:val="21"/>
        </w:rPr>
      </w:pPr>
      <w:r>
        <w:rPr>
          <w:spacing w:val="-3"/>
          <w:sz w:val="21"/>
        </w:rPr>
        <w:t>中国人民银行、中国银行保险监管部门等政府部门依法或依职权要求我们报告的。</w:t>
      </w:r>
    </w:p>
    <w:p>
      <w:pPr>
        <w:pStyle w:val="BodyText"/>
        <w:rPr>
          <w:sz w:val="22"/>
        </w:rPr>
      </w:pPr>
    </w:p>
    <w:p>
      <w:pPr>
        <w:pStyle w:val="BodyText"/>
        <w:spacing w:before="8"/>
        <w:rPr>
          <w:sz w:val="24"/>
        </w:rPr>
      </w:pPr>
    </w:p>
    <w:p>
      <w:pPr>
        <w:pStyle w:val="Heading2"/>
        <w:numPr>
          <w:ilvl w:val="0"/>
          <w:numId w:val="2"/>
        </w:numPr>
        <w:tabs>
          <w:tab w:pos="681" w:val="left" w:leader="none"/>
        </w:tabs>
        <w:spacing w:line="240" w:lineRule="auto" w:before="0" w:after="0"/>
        <w:ind w:left="680" w:right="0" w:hanging="361"/>
        <w:jc w:val="left"/>
        <w:rPr>
          <w:rFonts w:ascii="Calibri" w:eastAsia="Calibri"/>
        </w:rPr>
      </w:pPr>
      <w:bookmarkStart w:name="_bookmark43" w:id="82"/>
      <w:bookmarkEnd w:id="82"/>
      <w:r>
        <w:rPr>
          <w:b w:val="0"/>
        </w:rPr>
      </w:r>
      <w:bookmarkStart w:name="_bookmark43" w:id="83"/>
      <w:bookmarkEnd w:id="83"/>
      <w:r>
        <w:rPr>
          <w:spacing w:val="-3"/>
        </w:rPr>
        <w:t>司法鉴定</w:t>
      </w:r>
    </w:p>
    <w:p>
      <w:pPr>
        <w:spacing w:line="290" w:lineRule="auto" w:before="82"/>
        <w:ind w:left="320" w:right="320" w:firstLine="422"/>
        <w:jc w:val="left"/>
        <w:rPr>
          <w:rFonts w:ascii="Microsoft JhengHei" w:eastAsia="Microsoft JhengHei"/>
          <w:b/>
          <w:sz w:val="21"/>
        </w:rPr>
      </w:pPr>
      <w:r>
        <w:rPr>
          <w:rFonts w:ascii="Microsoft JhengHei" w:eastAsia="Microsoft JhengHei"/>
          <w:b/>
          <w:spacing w:val="-2"/>
          <w:sz w:val="21"/>
        </w:rPr>
        <w:t>若被保险人发生身故，在必要时我们可要求司法鉴定机构对被保险人进行鉴定，以确</w:t>
      </w:r>
      <w:r>
        <w:rPr>
          <w:rFonts w:ascii="Microsoft JhengHei" w:eastAsia="Microsoft JhengHei"/>
          <w:b/>
          <w:spacing w:val="-2"/>
          <w:sz w:val="21"/>
        </w:rPr>
        <w:t>定被保险人发生身故的原因。</w:t>
      </w:r>
    </w:p>
    <w:p>
      <w:pPr>
        <w:pStyle w:val="BodyText"/>
        <w:spacing w:before="10"/>
        <w:rPr>
          <w:rFonts w:ascii="Microsoft JhengHei"/>
          <w:b/>
          <w:sz w:val="25"/>
        </w:rPr>
      </w:pPr>
    </w:p>
    <w:p>
      <w:pPr>
        <w:pStyle w:val="Heading2"/>
        <w:numPr>
          <w:ilvl w:val="0"/>
          <w:numId w:val="2"/>
        </w:numPr>
        <w:tabs>
          <w:tab w:pos="681" w:val="left" w:leader="none"/>
        </w:tabs>
        <w:spacing w:line="240" w:lineRule="auto" w:before="0" w:after="0"/>
        <w:ind w:left="680" w:right="0" w:hanging="361"/>
        <w:jc w:val="left"/>
        <w:rPr>
          <w:rFonts w:ascii="Calibri" w:eastAsia="Calibri"/>
        </w:rPr>
      </w:pPr>
      <w:bookmarkStart w:name="_bookmark44" w:id="84"/>
      <w:bookmarkEnd w:id="84"/>
      <w:r>
        <w:rPr>
          <w:b w:val="0"/>
        </w:rPr>
      </w:r>
      <w:bookmarkStart w:name="_bookmark44" w:id="85"/>
      <w:bookmarkEnd w:id="85"/>
      <w:r>
        <w:rPr>
          <w:spacing w:val="-2"/>
        </w:rPr>
        <w:t>争议的处理</w:t>
      </w:r>
    </w:p>
    <w:p>
      <w:pPr>
        <w:pStyle w:val="BodyText"/>
        <w:spacing w:line="417" w:lineRule="auto" w:before="151"/>
        <w:ind w:left="320" w:right="311" w:firstLine="427"/>
      </w:pPr>
      <w:r>
        <w:rPr>
          <w:spacing w:val="-4"/>
        </w:rPr>
        <w:t>因履行本合同发生的争议，由我们和您协商解决。协商不成的，双方同意从下列二种方</w:t>
      </w:r>
      <w:r>
        <w:rPr>
          <w:spacing w:val="-2"/>
        </w:rPr>
        <w:t>式中选择一种：</w:t>
      </w:r>
    </w:p>
    <w:p>
      <w:pPr>
        <w:pStyle w:val="ListParagraph"/>
        <w:numPr>
          <w:ilvl w:val="0"/>
          <w:numId w:val="13"/>
        </w:numPr>
        <w:tabs>
          <w:tab w:pos="1161" w:val="left" w:leader="none"/>
        </w:tabs>
        <w:spacing w:line="269" w:lineRule="exact" w:before="0" w:after="0"/>
        <w:ind w:left="1160" w:right="0" w:hanging="558"/>
        <w:jc w:val="left"/>
        <w:rPr>
          <w:sz w:val="21"/>
        </w:rPr>
      </w:pPr>
      <w:r>
        <w:rPr>
          <w:spacing w:val="-3"/>
          <w:sz w:val="21"/>
        </w:rPr>
        <w:t>提交双方共同选择的仲裁委员会仲裁；</w:t>
      </w:r>
    </w:p>
    <w:p>
      <w:pPr>
        <w:pStyle w:val="BodyText"/>
        <w:spacing w:before="7"/>
        <w:rPr>
          <w:sz w:val="15"/>
        </w:rPr>
      </w:pPr>
    </w:p>
    <w:p>
      <w:pPr>
        <w:pStyle w:val="ListParagraph"/>
        <w:numPr>
          <w:ilvl w:val="0"/>
          <w:numId w:val="13"/>
        </w:numPr>
        <w:tabs>
          <w:tab w:pos="1161" w:val="left" w:leader="none"/>
        </w:tabs>
        <w:spacing w:line="240" w:lineRule="auto" w:before="0" w:after="0"/>
        <w:ind w:left="1160" w:right="0" w:hanging="553"/>
        <w:jc w:val="left"/>
        <w:rPr>
          <w:sz w:val="21"/>
        </w:rPr>
      </w:pPr>
      <w:r>
        <w:rPr>
          <w:spacing w:val="-3"/>
          <w:sz w:val="21"/>
        </w:rPr>
        <w:t>依法向人民法院提起诉讼。</w:t>
      </w:r>
    </w:p>
    <w:p>
      <w:pPr>
        <w:pStyle w:val="BodyText"/>
        <w:spacing w:before="7"/>
        <w:rPr>
          <w:sz w:val="15"/>
        </w:rPr>
      </w:pPr>
    </w:p>
    <w:p>
      <w:pPr>
        <w:pStyle w:val="BodyText"/>
        <w:spacing w:line="417" w:lineRule="auto"/>
        <w:ind w:left="320" w:right="314" w:firstLine="479"/>
      </w:pPr>
      <w:r>
        <w:rPr>
          <w:spacing w:val="-2"/>
        </w:rPr>
        <w:t>与本合同有关的以及履行本合同所产生的一切争议处理适用中华人民共和国法律（</w:t>
      </w:r>
      <w:r>
        <w:rPr>
          <w:spacing w:val="-2"/>
        </w:rPr>
        <w:t>不</w:t>
      </w:r>
      <w:r>
        <w:rPr>
          <w:spacing w:val="-2"/>
        </w:rPr>
        <w:t>包括港澳台地区法律</w:t>
      </w:r>
      <w:r>
        <w:rPr>
          <w:spacing w:val="-106"/>
        </w:rPr>
        <w:t>）</w:t>
      </w:r>
      <w:r>
        <w:rPr>
          <w:spacing w:val="-2"/>
        </w:rPr>
        <w:t>。</w:t>
      </w:r>
    </w:p>
    <w:p>
      <w:pPr>
        <w:spacing w:after="0" w:line="417" w:lineRule="auto"/>
        <w:sectPr>
          <w:pgSz w:w="11910" w:h="16840"/>
          <w:pgMar w:header="0" w:footer="1005" w:top="1460" w:bottom="1200" w:left="1480" w:right="1480"/>
        </w:sectPr>
      </w:pPr>
    </w:p>
    <w:p>
      <w:pPr>
        <w:pStyle w:val="Heading2"/>
        <w:spacing w:before="44"/>
        <w:ind w:left="320" w:firstLine="0"/>
        <w:rPr>
          <w:rFonts w:ascii="仿宋" w:eastAsia="仿宋" w:hint="eastAsia"/>
        </w:rPr>
      </w:pPr>
      <w:bookmarkStart w:name="_bookmark45" w:id="86"/>
      <w:bookmarkEnd w:id="86"/>
      <w:r>
        <w:rPr>
          <w:b w:val="0"/>
        </w:rPr>
      </w:r>
      <w:r>
        <w:rPr>
          <w:rFonts w:ascii="仿宋" w:eastAsia="仿宋" w:hint="eastAsia"/>
          <w:spacing w:val="-5"/>
        </w:rPr>
        <w:t>释义</w:t>
      </w:r>
    </w:p>
    <w:p>
      <w:pPr>
        <w:pStyle w:val="BodyText"/>
        <w:spacing w:before="11"/>
        <w:rPr>
          <w:rFonts w:ascii="仿宋"/>
          <w:b/>
          <w:sz w:val="25"/>
        </w:rPr>
      </w:pPr>
    </w:p>
    <w:p>
      <w:pPr>
        <w:pStyle w:val="ListParagraph"/>
        <w:numPr>
          <w:ilvl w:val="0"/>
          <w:numId w:val="14"/>
        </w:numPr>
        <w:tabs>
          <w:tab w:pos="740" w:val="left" w:leader="none"/>
          <w:tab w:pos="741" w:val="left" w:leader="none"/>
        </w:tabs>
        <w:spacing w:line="333" w:lineRule="auto" w:before="0" w:after="0"/>
        <w:ind w:left="740" w:right="314" w:hanging="420"/>
        <w:jc w:val="left"/>
        <w:rPr>
          <w:sz w:val="21"/>
        </w:rPr>
      </w:pPr>
      <w:r>
        <w:rPr>
          <w:rFonts w:ascii="Microsoft JhengHei" w:eastAsia="Microsoft JhengHei"/>
          <w:b/>
          <w:spacing w:val="10"/>
          <w:sz w:val="21"/>
        </w:rPr>
        <w:t>周岁 </w:t>
      </w:r>
      <w:r>
        <w:rPr>
          <w:sz w:val="21"/>
        </w:rPr>
        <w:t>指按法定身份证明文件中记载的出生日期计算的年龄，自出生之日起为零周岁，</w:t>
      </w:r>
      <w:r>
        <w:rPr>
          <w:spacing w:val="-2"/>
          <w:sz w:val="21"/>
        </w:rPr>
        <w:t>每经过一年增加一岁，不足一年的不计。</w:t>
      </w:r>
    </w:p>
    <w:p>
      <w:pPr>
        <w:pStyle w:val="ListParagraph"/>
        <w:numPr>
          <w:ilvl w:val="0"/>
          <w:numId w:val="14"/>
        </w:numPr>
        <w:tabs>
          <w:tab w:pos="740" w:val="left" w:leader="none"/>
          <w:tab w:pos="741" w:val="left" w:leader="none"/>
        </w:tabs>
        <w:spacing w:line="333" w:lineRule="auto" w:before="26" w:after="0"/>
        <w:ind w:left="740" w:right="316" w:hanging="420"/>
        <w:jc w:val="left"/>
        <w:rPr>
          <w:sz w:val="21"/>
        </w:rPr>
      </w:pPr>
      <w:r>
        <w:rPr>
          <w:rFonts w:ascii="Microsoft JhengHei" w:eastAsia="Microsoft JhengHei"/>
          <w:b/>
          <w:spacing w:val="5"/>
          <w:sz w:val="21"/>
        </w:rPr>
        <w:t>保单周年日 </w:t>
      </w:r>
      <w:r>
        <w:rPr>
          <w:sz w:val="21"/>
        </w:rPr>
        <w:t>指本合同生效日在合同生效后每年的对应日，不含本合同生效日当日。若</w:t>
      </w:r>
      <w:r>
        <w:rPr>
          <w:spacing w:val="-2"/>
          <w:sz w:val="21"/>
        </w:rPr>
        <w:t>当月没有对应的同一日，则以该月最后一日为对应日。</w:t>
      </w:r>
    </w:p>
    <w:p>
      <w:pPr>
        <w:pStyle w:val="ListParagraph"/>
        <w:numPr>
          <w:ilvl w:val="0"/>
          <w:numId w:val="14"/>
        </w:numPr>
        <w:tabs>
          <w:tab w:pos="740" w:val="left" w:leader="none"/>
          <w:tab w:pos="741" w:val="left" w:leader="none"/>
        </w:tabs>
        <w:spacing w:line="333" w:lineRule="auto" w:before="25" w:after="0"/>
        <w:ind w:left="740" w:right="316" w:hanging="420"/>
        <w:jc w:val="left"/>
        <w:rPr>
          <w:sz w:val="21"/>
        </w:rPr>
      </w:pPr>
      <w:r>
        <w:rPr>
          <w:rFonts w:ascii="Microsoft JhengHei" w:eastAsia="Microsoft JhengHei"/>
          <w:b/>
          <w:spacing w:val="6"/>
          <w:sz w:val="21"/>
        </w:rPr>
        <w:t>保单年度 </w:t>
      </w:r>
      <w:r>
        <w:rPr>
          <w:sz w:val="21"/>
        </w:rPr>
        <w:t>从本合同生效日或保单周年日零时起至下一年度的保单周年日零时止为一个</w:t>
      </w:r>
      <w:r>
        <w:rPr>
          <w:spacing w:val="-2"/>
          <w:sz w:val="21"/>
        </w:rPr>
        <w:t>保单年度。</w:t>
      </w:r>
    </w:p>
    <w:p>
      <w:pPr>
        <w:pStyle w:val="ListParagraph"/>
        <w:numPr>
          <w:ilvl w:val="0"/>
          <w:numId w:val="14"/>
        </w:numPr>
        <w:tabs>
          <w:tab w:pos="740" w:val="left" w:leader="none"/>
          <w:tab w:pos="741" w:val="left" w:leader="none"/>
        </w:tabs>
        <w:spacing w:line="240" w:lineRule="auto" w:before="25" w:after="0"/>
        <w:ind w:left="740" w:right="0" w:hanging="421"/>
        <w:jc w:val="left"/>
        <w:rPr>
          <w:sz w:val="21"/>
        </w:rPr>
      </w:pPr>
      <w:r>
        <w:rPr>
          <w:rFonts w:ascii="Microsoft JhengHei" w:eastAsia="Microsoft JhengHei"/>
          <w:b/>
          <w:spacing w:val="4"/>
          <w:sz w:val="21"/>
        </w:rPr>
        <w:t>到达年龄 </w:t>
      </w:r>
      <w:r>
        <w:rPr>
          <w:spacing w:val="-10"/>
          <w:sz w:val="21"/>
        </w:rPr>
        <w:t>指被保险人原始投保年龄，加上当时保单年度数，再减去 </w:t>
      </w:r>
      <w:r>
        <w:rPr>
          <w:rFonts w:ascii="Calibri" w:eastAsia="Calibri"/>
          <w:sz w:val="21"/>
        </w:rPr>
        <w:t>1</w:t>
      </w:r>
      <w:r>
        <w:rPr>
          <w:rFonts w:ascii="Calibri" w:eastAsia="Calibri"/>
          <w:spacing w:val="-5"/>
          <w:sz w:val="21"/>
        </w:rPr>
        <w:t> </w:t>
      </w:r>
      <w:r>
        <w:rPr>
          <w:spacing w:val="-2"/>
          <w:sz w:val="21"/>
        </w:rPr>
        <w:t>后所得到的年龄。</w:t>
      </w:r>
    </w:p>
    <w:p>
      <w:pPr>
        <w:pStyle w:val="ListParagraph"/>
        <w:numPr>
          <w:ilvl w:val="0"/>
          <w:numId w:val="14"/>
        </w:numPr>
        <w:tabs>
          <w:tab w:pos="740" w:val="left" w:leader="none"/>
          <w:tab w:pos="741" w:val="left" w:leader="none"/>
        </w:tabs>
        <w:spacing w:line="333" w:lineRule="auto" w:before="83" w:after="0"/>
        <w:ind w:left="747" w:right="316" w:hanging="420"/>
        <w:jc w:val="left"/>
        <w:rPr>
          <w:sz w:val="21"/>
        </w:rPr>
      </w:pPr>
      <w:r>
        <w:rPr>
          <w:rFonts w:ascii="Microsoft JhengHei" w:eastAsia="Microsoft JhengHei"/>
          <w:b/>
          <w:spacing w:val="4"/>
          <w:sz w:val="21"/>
        </w:rPr>
        <w:t>有效身份证件 </w:t>
      </w:r>
      <w:r>
        <w:rPr>
          <w:sz w:val="21"/>
        </w:rPr>
        <w:t>包括由政府主管部门规定的证明其身份的证件，如：身份证、按规定可</w:t>
      </w:r>
      <w:r>
        <w:rPr>
          <w:spacing w:val="-2"/>
          <w:sz w:val="21"/>
        </w:rPr>
        <w:t>使用的有效护照、军官证、警官证、士兵证等证件。</w:t>
      </w:r>
    </w:p>
    <w:p>
      <w:pPr>
        <w:spacing w:after="0" w:line="333" w:lineRule="auto"/>
        <w:jc w:val="left"/>
        <w:rPr>
          <w:sz w:val="21"/>
        </w:rPr>
        <w:sectPr>
          <w:pgSz w:w="11910" w:h="16840"/>
          <w:pgMar w:header="0" w:footer="1005" w:top="1400" w:bottom="1200" w:left="1480" w:right="1480"/>
        </w:sectPr>
      </w:pPr>
    </w:p>
    <w:p>
      <w:pPr>
        <w:pStyle w:val="Heading2"/>
        <w:spacing w:line="359" w:lineRule="exact"/>
        <w:ind w:left="320" w:firstLine="0"/>
      </w:pPr>
      <w:r>
        <w:rPr>
          <w:spacing w:val="-2"/>
        </w:rPr>
        <w:t>附表：瑞泰瑞鑫终身寿险（万能型）</w:t>
      </w:r>
      <w:r>
        <w:rPr>
          <w:spacing w:val="-3"/>
        </w:rPr>
        <w:t>年风险保险费费率表</w:t>
      </w:r>
    </w:p>
    <w:p>
      <w:pPr>
        <w:pStyle w:val="BodyText"/>
        <w:tabs>
          <w:tab w:pos="6310" w:val="left" w:leader="none"/>
        </w:tabs>
        <w:spacing w:line="267" w:lineRule="exact" w:after="20"/>
        <w:ind w:left="2"/>
        <w:jc w:val="center"/>
      </w:pPr>
      <w:r>
        <w:rPr/>
        <w:drawing>
          <wp:anchor distT="0" distB="0" distL="0" distR="0" allowOverlap="1" layoutInCell="1" locked="0" behindDoc="1" simplePos="0" relativeHeight="486715392">
            <wp:simplePos x="0" y="0"/>
            <wp:positionH relativeFrom="page">
              <wp:posOffset>1074724</wp:posOffset>
            </wp:positionH>
            <wp:positionV relativeFrom="paragraph">
              <wp:posOffset>185278</wp:posOffset>
            </wp:positionV>
            <wp:extent cx="602010" cy="285750"/>
            <wp:effectExtent l="0" t="0" r="0" b="0"/>
            <wp:wrapNone/>
            <wp:docPr id="3" name="image2.png"/>
            <wp:cNvGraphicFramePr>
              <a:graphicFrameLocks noChangeAspect="1"/>
            </wp:cNvGraphicFramePr>
            <a:graphic>
              <a:graphicData uri="http://schemas.openxmlformats.org/drawingml/2006/picture">
                <pic:pic>
                  <pic:nvPicPr>
                    <pic:cNvPr id="4" name="image2.png"/>
                    <pic:cNvPicPr/>
                  </pic:nvPicPr>
                  <pic:blipFill>
                    <a:blip r:embed="rId7" cstate="print"/>
                    <a:stretch>
                      <a:fillRect/>
                    </a:stretch>
                  </pic:blipFill>
                  <pic:spPr>
                    <a:xfrm>
                      <a:off x="0" y="0"/>
                      <a:ext cx="602010" cy="285750"/>
                    </a:xfrm>
                    <a:prstGeom prst="rect">
                      <a:avLst/>
                    </a:prstGeom>
                  </pic:spPr>
                </pic:pic>
              </a:graphicData>
            </a:graphic>
          </wp:anchor>
        </w:drawing>
      </w:r>
      <w:r>
        <w:rPr/>
        <w:drawing>
          <wp:anchor distT="0" distB="0" distL="0" distR="0" allowOverlap="1" layoutInCell="1" locked="0" behindDoc="1" simplePos="0" relativeHeight="486715904">
            <wp:simplePos x="0" y="0"/>
            <wp:positionH relativeFrom="page">
              <wp:posOffset>2877947</wp:posOffset>
            </wp:positionH>
            <wp:positionV relativeFrom="paragraph">
              <wp:posOffset>185278</wp:posOffset>
            </wp:positionV>
            <wp:extent cx="603589" cy="285750"/>
            <wp:effectExtent l="0" t="0" r="0" b="0"/>
            <wp:wrapNone/>
            <wp:docPr id="5" name="image3.png"/>
            <wp:cNvGraphicFramePr>
              <a:graphicFrameLocks noChangeAspect="1"/>
            </wp:cNvGraphicFramePr>
            <a:graphic>
              <a:graphicData uri="http://schemas.openxmlformats.org/drawingml/2006/picture">
                <pic:pic>
                  <pic:nvPicPr>
                    <pic:cNvPr id="6" name="image3.png"/>
                    <pic:cNvPicPr/>
                  </pic:nvPicPr>
                  <pic:blipFill>
                    <a:blip r:embed="rId8" cstate="print"/>
                    <a:stretch>
                      <a:fillRect/>
                    </a:stretch>
                  </pic:blipFill>
                  <pic:spPr>
                    <a:xfrm>
                      <a:off x="0" y="0"/>
                      <a:ext cx="603589" cy="285750"/>
                    </a:xfrm>
                    <a:prstGeom prst="rect">
                      <a:avLst/>
                    </a:prstGeom>
                  </pic:spPr>
                </pic:pic>
              </a:graphicData>
            </a:graphic>
          </wp:anchor>
        </w:drawing>
      </w:r>
      <w:r>
        <w:rPr/>
        <w:drawing>
          <wp:anchor distT="0" distB="0" distL="0" distR="0" allowOverlap="1" layoutInCell="1" locked="0" behindDoc="1" simplePos="0" relativeHeight="486716416">
            <wp:simplePos x="0" y="0"/>
            <wp:positionH relativeFrom="page">
              <wp:posOffset>4684140</wp:posOffset>
            </wp:positionH>
            <wp:positionV relativeFrom="paragraph">
              <wp:posOffset>185278</wp:posOffset>
            </wp:positionV>
            <wp:extent cx="603589" cy="285750"/>
            <wp:effectExtent l="0" t="0" r="0" b="0"/>
            <wp:wrapNone/>
            <wp:docPr id="7" name="image4.png"/>
            <wp:cNvGraphicFramePr>
              <a:graphicFrameLocks noChangeAspect="1"/>
            </wp:cNvGraphicFramePr>
            <a:graphic>
              <a:graphicData uri="http://schemas.openxmlformats.org/drawingml/2006/picture">
                <pic:pic>
                  <pic:nvPicPr>
                    <pic:cNvPr id="8" name="image4.png"/>
                    <pic:cNvPicPr/>
                  </pic:nvPicPr>
                  <pic:blipFill>
                    <a:blip r:embed="rId9" cstate="print"/>
                    <a:stretch>
                      <a:fillRect/>
                    </a:stretch>
                  </pic:blipFill>
                  <pic:spPr>
                    <a:xfrm>
                      <a:off x="0" y="0"/>
                      <a:ext cx="603589" cy="285750"/>
                    </a:xfrm>
                    <a:prstGeom prst="rect">
                      <a:avLst/>
                    </a:prstGeom>
                  </pic:spPr>
                </pic:pic>
              </a:graphicData>
            </a:graphic>
          </wp:anchor>
        </w:drawing>
      </w:r>
      <w:r>
        <w:rPr/>
        <w:t>风险保额：</w:t>
      </w:r>
      <w:r>
        <w:rPr>
          <w:rFonts w:ascii="Calibri" w:eastAsia="Calibri"/>
        </w:rPr>
        <w:t>1,000</w:t>
      </w:r>
      <w:r>
        <w:rPr>
          <w:rFonts w:ascii="Calibri" w:eastAsia="Calibri"/>
          <w:spacing w:val="-8"/>
        </w:rPr>
        <w:t> </w:t>
      </w:r>
      <w:r>
        <w:rPr>
          <w:spacing w:val="-10"/>
        </w:rPr>
        <w:t>元</w:t>
      </w:r>
      <w:r>
        <w:rPr/>
        <w:tab/>
      </w:r>
      <w:r>
        <w:rPr>
          <w:spacing w:val="-2"/>
        </w:rPr>
        <w:t>金额单位：</w:t>
      </w:r>
      <w:r>
        <w:rPr>
          <w:spacing w:val="-2"/>
        </w:rPr>
        <w:t>人</w:t>
      </w:r>
      <w:r>
        <w:rPr>
          <w:spacing w:val="-2"/>
        </w:rPr>
        <w:t>民</w:t>
      </w:r>
      <w:r>
        <w:rPr>
          <w:spacing w:val="-2"/>
        </w:rPr>
        <w:t>币</w:t>
      </w:r>
      <w:r>
        <w:rPr>
          <w:spacing w:val="-10"/>
        </w:rPr>
        <w:t>元</w:t>
      </w:r>
    </w:p>
    <w:tbl>
      <w:tblPr>
        <w:tblW w:w="0" w:type="auto"/>
        <w:jc w:val="left"/>
        <w:tblInd w:w="21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top w:w="0" w:type="dxa"/>
          <w:left w:w="0" w:type="dxa"/>
          <w:bottom w:w="0" w:type="dxa"/>
          <w:right w:w="0" w:type="dxa"/>
        </w:tblCellMar>
        <w:tblLook w:val="01E0"/>
      </w:tblPr>
      <w:tblGrid>
        <w:gridCol w:w="946"/>
        <w:gridCol w:w="946"/>
        <w:gridCol w:w="949"/>
        <w:gridCol w:w="948"/>
        <w:gridCol w:w="948"/>
        <w:gridCol w:w="948"/>
        <w:gridCol w:w="948"/>
        <w:gridCol w:w="948"/>
        <w:gridCol w:w="943"/>
      </w:tblGrid>
      <w:tr>
        <w:trPr>
          <w:trHeight w:val="438" w:hRule="atLeast"/>
        </w:trPr>
        <w:tc>
          <w:tcPr>
            <w:tcW w:w="946" w:type="dxa"/>
          </w:tcPr>
          <w:p>
            <w:pPr>
              <w:pStyle w:val="TableParagraph"/>
              <w:spacing w:line="211" w:lineRule="exact" w:before="0"/>
              <w:ind w:right="94"/>
              <w:jc w:val="right"/>
              <w:rPr>
                <w:rFonts w:ascii="Microsoft JhengHei" w:eastAsia="Microsoft JhengHei"/>
                <w:b/>
                <w:sz w:val="18"/>
              </w:rPr>
            </w:pPr>
            <w:r>
              <w:rPr>
                <w:rFonts w:ascii="Microsoft JhengHei" w:eastAsia="Microsoft JhengHei"/>
                <w:b/>
                <w:spacing w:val="-5"/>
                <w:sz w:val="18"/>
              </w:rPr>
              <w:t>性别</w:t>
            </w:r>
          </w:p>
          <w:p>
            <w:pPr>
              <w:pStyle w:val="TableParagraph"/>
              <w:spacing w:line="207" w:lineRule="exact" w:before="0"/>
              <w:ind w:right="104"/>
              <w:jc w:val="right"/>
              <w:rPr>
                <w:rFonts w:ascii="Microsoft JhengHei" w:eastAsia="Microsoft JhengHei"/>
                <w:b/>
                <w:sz w:val="18"/>
              </w:rPr>
            </w:pPr>
            <w:r>
              <w:rPr>
                <w:rFonts w:ascii="Microsoft JhengHei" w:eastAsia="Microsoft JhengHei"/>
                <w:b/>
                <w:spacing w:val="-3"/>
                <w:sz w:val="18"/>
              </w:rPr>
              <w:t>到达年龄</w:t>
            </w:r>
          </w:p>
        </w:tc>
        <w:tc>
          <w:tcPr>
            <w:tcW w:w="946" w:type="dxa"/>
          </w:tcPr>
          <w:p>
            <w:pPr>
              <w:pStyle w:val="TableParagraph"/>
              <w:spacing w:before="46"/>
              <w:ind w:left="279" w:right="266"/>
              <w:rPr>
                <w:rFonts w:ascii="Microsoft JhengHei" w:eastAsia="Microsoft JhengHei"/>
                <w:b/>
                <w:sz w:val="18"/>
              </w:rPr>
            </w:pPr>
            <w:r>
              <w:rPr>
                <w:rFonts w:ascii="Microsoft JhengHei" w:eastAsia="Microsoft JhengHei"/>
                <w:b/>
                <w:spacing w:val="-5"/>
                <w:sz w:val="18"/>
              </w:rPr>
              <w:t>男性</w:t>
            </w:r>
          </w:p>
        </w:tc>
        <w:tc>
          <w:tcPr>
            <w:tcW w:w="949" w:type="dxa"/>
          </w:tcPr>
          <w:p>
            <w:pPr>
              <w:pStyle w:val="TableParagraph"/>
              <w:spacing w:before="46"/>
              <w:ind w:left="291"/>
              <w:jc w:val="left"/>
              <w:rPr>
                <w:rFonts w:ascii="Microsoft JhengHei" w:eastAsia="Microsoft JhengHei"/>
                <w:b/>
                <w:sz w:val="18"/>
              </w:rPr>
            </w:pPr>
            <w:r>
              <w:rPr>
                <w:rFonts w:ascii="Microsoft JhengHei" w:eastAsia="Microsoft JhengHei"/>
                <w:b/>
                <w:spacing w:val="-5"/>
                <w:sz w:val="18"/>
              </w:rPr>
              <w:t>女性</w:t>
            </w:r>
          </w:p>
        </w:tc>
        <w:tc>
          <w:tcPr>
            <w:tcW w:w="948" w:type="dxa"/>
          </w:tcPr>
          <w:p>
            <w:pPr>
              <w:pStyle w:val="TableParagraph"/>
              <w:spacing w:line="211" w:lineRule="exact" w:before="0"/>
              <w:ind w:right="95"/>
              <w:jc w:val="right"/>
              <w:rPr>
                <w:rFonts w:ascii="Microsoft JhengHei" w:eastAsia="Microsoft JhengHei"/>
                <w:b/>
                <w:sz w:val="18"/>
              </w:rPr>
            </w:pPr>
            <w:r>
              <w:rPr>
                <w:rFonts w:ascii="Microsoft JhengHei" w:eastAsia="Microsoft JhengHei"/>
                <w:b/>
                <w:spacing w:val="-5"/>
                <w:sz w:val="18"/>
              </w:rPr>
              <w:t>性别</w:t>
            </w:r>
          </w:p>
          <w:p>
            <w:pPr>
              <w:pStyle w:val="TableParagraph"/>
              <w:spacing w:line="207" w:lineRule="exact" w:before="0"/>
              <w:ind w:right="107"/>
              <w:jc w:val="right"/>
              <w:rPr>
                <w:rFonts w:ascii="Microsoft JhengHei" w:eastAsia="Microsoft JhengHei"/>
                <w:b/>
                <w:sz w:val="18"/>
              </w:rPr>
            </w:pPr>
            <w:r>
              <w:rPr>
                <w:rFonts w:ascii="Microsoft JhengHei" w:eastAsia="Microsoft JhengHei"/>
                <w:b/>
                <w:spacing w:val="-3"/>
                <w:sz w:val="18"/>
              </w:rPr>
              <w:t>到达年龄</w:t>
            </w:r>
          </w:p>
        </w:tc>
        <w:tc>
          <w:tcPr>
            <w:tcW w:w="948" w:type="dxa"/>
          </w:tcPr>
          <w:p>
            <w:pPr>
              <w:pStyle w:val="TableParagraph"/>
              <w:spacing w:before="46"/>
              <w:ind w:left="291"/>
              <w:jc w:val="left"/>
              <w:rPr>
                <w:rFonts w:ascii="Microsoft JhengHei" w:eastAsia="Microsoft JhengHei"/>
                <w:b/>
                <w:sz w:val="18"/>
              </w:rPr>
            </w:pPr>
            <w:r>
              <w:rPr>
                <w:rFonts w:ascii="Microsoft JhengHei" w:eastAsia="Microsoft JhengHei"/>
                <w:b/>
                <w:spacing w:val="-5"/>
                <w:sz w:val="18"/>
              </w:rPr>
              <w:t>男性</w:t>
            </w:r>
          </w:p>
        </w:tc>
        <w:tc>
          <w:tcPr>
            <w:tcW w:w="948" w:type="dxa"/>
          </w:tcPr>
          <w:p>
            <w:pPr>
              <w:pStyle w:val="TableParagraph"/>
              <w:spacing w:before="46"/>
              <w:ind w:left="199" w:right="189"/>
              <w:rPr>
                <w:rFonts w:ascii="Microsoft JhengHei" w:eastAsia="Microsoft JhengHei"/>
                <w:b/>
                <w:sz w:val="18"/>
              </w:rPr>
            </w:pPr>
            <w:r>
              <w:rPr>
                <w:rFonts w:ascii="Microsoft JhengHei" w:eastAsia="Microsoft JhengHei"/>
                <w:b/>
                <w:spacing w:val="-5"/>
                <w:sz w:val="18"/>
              </w:rPr>
              <w:t>女性</w:t>
            </w:r>
          </w:p>
        </w:tc>
        <w:tc>
          <w:tcPr>
            <w:tcW w:w="948" w:type="dxa"/>
          </w:tcPr>
          <w:p>
            <w:pPr>
              <w:pStyle w:val="TableParagraph"/>
              <w:spacing w:line="211" w:lineRule="exact" w:before="0"/>
              <w:ind w:right="94"/>
              <w:jc w:val="right"/>
              <w:rPr>
                <w:rFonts w:ascii="Microsoft JhengHei" w:eastAsia="Microsoft JhengHei"/>
                <w:b/>
                <w:sz w:val="18"/>
              </w:rPr>
            </w:pPr>
            <w:r>
              <w:rPr>
                <w:rFonts w:ascii="Microsoft JhengHei" w:eastAsia="Microsoft JhengHei"/>
                <w:b/>
                <w:spacing w:val="-5"/>
                <w:sz w:val="18"/>
              </w:rPr>
              <w:t>性别</w:t>
            </w:r>
          </w:p>
          <w:p>
            <w:pPr>
              <w:pStyle w:val="TableParagraph"/>
              <w:spacing w:line="207" w:lineRule="exact" w:before="0"/>
              <w:ind w:right="106"/>
              <w:jc w:val="right"/>
              <w:rPr>
                <w:rFonts w:ascii="Microsoft JhengHei" w:eastAsia="Microsoft JhengHei"/>
                <w:b/>
                <w:sz w:val="18"/>
              </w:rPr>
            </w:pPr>
            <w:r>
              <w:rPr>
                <w:rFonts w:ascii="Microsoft JhengHei" w:eastAsia="Microsoft JhengHei"/>
                <w:b/>
                <w:spacing w:val="-3"/>
                <w:sz w:val="18"/>
              </w:rPr>
              <w:t>到达年龄</w:t>
            </w:r>
          </w:p>
        </w:tc>
        <w:tc>
          <w:tcPr>
            <w:tcW w:w="948" w:type="dxa"/>
            <w:tcBorders>
              <w:right w:val="single" w:sz="6" w:space="0" w:color="000000"/>
            </w:tcBorders>
          </w:tcPr>
          <w:p>
            <w:pPr>
              <w:pStyle w:val="TableParagraph"/>
              <w:spacing w:before="46"/>
              <w:ind w:left="205" w:right="195"/>
              <w:rPr>
                <w:rFonts w:ascii="Microsoft JhengHei" w:eastAsia="Microsoft JhengHei"/>
                <w:b/>
                <w:sz w:val="18"/>
              </w:rPr>
            </w:pPr>
            <w:r>
              <w:rPr>
                <w:rFonts w:ascii="Microsoft JhengHei" w:eastAsia="Microsoft JhengHei"/>
                <w:b/>
                <w:spacing w:val="-5"/>
                <w:sz w:val="18"/>
              </w:rPr>
              <w:t>男性</w:t>
            </w:r>
          </w:p>
        </w:tc>
        <w:tc>
          <w:tcPr>
            <w:tcW w:w="943" w:type="dxa"/>
            <w:tcBorders>
              <w:left w:val="single" w:sz="6" w:space="0" w:color="000000"/>
            </w:tcBorders>
          </w:tcPr>
          <w:p>
            <w:pPr>
              <w:pStyle w:val="TableParagraph"/>
              <w:spacing w:before="46"/>
              <w:ind w:left="287"/>
              <w:jc w:val="left"/>
              <w:rPr>
                <w:rFonts w:ascii="Microsoft JhengHei" w:eastAsia="Microsoft JhengHei"/>
                <w:b/>
                <w:sz w:val="18"/>
              </w:rPr>
            </w:pPr>
            <w:r>
              <w:rPr>
                <w:rFonts w:ascii="Microsoft JhengHei" w:eastAsia="Microsoft JhengHei"/>
                <w:b/>
                <w:spacing w:val="-5"/>
                <w:sz w:val="18"/>
              </w:rPr>
              <w:t>女性</w:t>
            </w:r>
          </w:p>
        </w:tc>
      </w:tr>
      <w:tr>
        <w:trPr>
          <w:trHeight w:val="313" w:hRule="atLeast"/>
        </w:trPr>
        <w:tc>
          <w:tcPr>
            <w:tcW w:w="946" w:type="dxa"/>
          </w:tcPr>
          <w:p>
            <w:pPr>
              <w:pStyle w:val="TableParagraph"/>
              <w:spacing w:before="47"/>
              <w:ind w:left="9"/>
              <w:rPr>
                <w:b/>
                <w:sz w:val="18"/>
              </w:rPr>
            </w:pPr>
            <w:r>
              <w:rPr>
                <w:b/>
                <w:sz w:val="18"/>
              </w:rPr>
              <w:t>0</w:t>
            </w:r>
          </w:p>
        </w:tc>
        <w:tc>
          <w:tcPr>
            <w:tcW w:w="946" w:type="dxa"/>
          </w:tcPr>
          <w:p>
            <w:pPr>
              <w:pStyle w:val="TableParagraph"/>
              <w:spacing w:before="47"/>
              <w:ind w:left="276" w:right="266"/>
              <w:rPr>
                <w:sz w:val="18"/>
              </w:rPr>
            </w:pPr>
            <w:r>
              <w:rPr>
                <w:spacing w:val="-4"/>
                <w:sz w:val="18"/>
              </w:rPr>
              <w:t>0.61</w:t>
            </w:r>
          </w:p>
        </w:tc>
        <w:tc>
          <w:tcPr>
            <w:tcW w:w="949" w:type="dxa"/>
          </w:tcPr>
          <w:p>
            <w:pPr>
              <w:pStyle w:val="TableParagraph"/>
              <w:spacing w:before="47"/>
              <w:ind w:left="313"/>
              <w:jc w:val="left"/>
              <w:rPr>
                <w:sz w:val="18"/>
              </w:rPr>
            </w:pPr>
            <w:r>
              <w:rPr>
                <w:spacing w:val="-4"/>
                <w:sz w:val="18"/>
              </w:rPr>
              <w:t>0.43</w:t>
            </w:r>
          </w:p>
        </w:tc>
        <w:tc>
          <w:tcPr>
            <w:tcW w:w="948" w:type="dxa"/>
          </w:tcPr>
          <w:p>
            <w:pPr>
              <w:pStyle w:val="TableParagraph"/>
              <w:spacing w:before="47"/>
              <w:ind w:left="380"/>
              <w:jc w:val="left"/>
              <w:rPr>
                <w:b/>
                <w:sz w:val="18"/>
              </w:rPr>
            </w:pPr>
            <w:r>
              <w:rPr>
                <w:b/>
                <w:spacing w:val="-5"/>
                <w:sz w:val="18"/>
              </w:rPr>
              <w:t>35</w:t>
            </w:r>
          </w:p>
        </w:tc>
        <w:tc>
          <w:tcPr>
            <w:tcW w:w="948" w:type="dxa"/>
          </w:tcPr>
          <w:p>
            <w:pPr>
              <w:pStyle w:val="TableParagraph"/>
              <w:spacing w:before="47"/>
              <w:ind w:left="312"/>
              <w:jc w:val="left"/>
              <w:rPr>
                <w:sz w:val="18"/>
              </w:rPr>
            </w:pPr>
            <w:r>
              <w:rPr>
                <w:spacing w:val="-4"/>
                <w:sz w:val="18"/>
              </w:rPr>
              <w:t>0.78</w:t>
            </w:r>
          </w:p>
        </w:tc>
        <w:tc>
          <w:tcPr>
            <w:tcW w:w="948" w:type="dxa"/>
          </w:tcPr>
          <w:p>
            <w:pPr>
              <w:pStyle w:val="TableParagraph"/>
              <w:spacing w:before="47"/>
              <w:ind w:left="199" w:right="192"/>
              <w:rPr>
                <w:sz w:val="18"/>
              </w:rPr>
            </w:pPr>
            <w:r>
              <w:rPr>
                <w:spacing w:val="-4"/>
                <w:sz w:val="18"/>
              </w:rPr>
              <w:t>0.32</w:t>
            </w:r>
          </w:p>
        </w:tc>
        <w:tc>
          <w:tcPr>
            <w:tcW w:w="948" w:type="dxa"/>
          </w:tcPr>
          <w:p>
            <w:pPr>
              <w:pStyle w:val="TableParagraph"/>
              <w:spacing w:before="47"/>
              <w:ind w:right="375"/>
              <w:jc w:val="right"/>
              <w:rPr>
                <w:b/>
                <w:sz w:val="18"/>
              </w:rPr>
            </w:pPr>
            <w:r>
              <w:rPr>
                <w:b/>
                <w:spacing w:val="-5"/>
                <w:sz w:val="18"/>
              </w:rPr>
              <w:t>70</w:t>
            </w:r>
          </w:p>
        </w:tc>
        <w:tc>
          <w:tcPr>
            <w:tcW w:w="948" w:type="dxa"/>
            <w:tcBorders>
              <w:right w:val="single" w:sz="6" w:space="0" w:color="000000"/>
            </w:tcBorders>
          </w:tcPr>
          <w:p>
            <w:pPr>
              <w:pStyle w:val="TableParagraph"/>
              <w:spacing w:before="47"/>
              <w:ind w:left="205" w:right="198"/>
              <w:rPr>
                <w:sz w:val="18"/>
              </w:rPr>
            </w:pPr>
            <w:r>
              <w:rPr>
                <w:spacing w:val="-2"/>
                <w:sz w:val="18"/>
              </w:rPr>
              <w:t>19.25</w:t>
            </w:r>
          </w:p>
        </w:tc>
        <w:tc>
          <w:tcPr>
            <w:tcW w:w="943" w:type="dxa"/>
            <w:tcBorders>
              <w:left w:val="single" w:sz="6" w:space="0" w:color="000000"/>
            </w:tcBorders>
          </w:tcPr>
          <w:p>
            <w:pPr>
              <w:pStyle w:val="TableParagraph"/>
              <w:spacing w:before="47"/>
              <w:ind w:left="263"/>
              <w:jc w:val="left"/>
              <w:rPr>
                <w:sz w:val="18"/>
              </w:rPr>
            </w:pPr>
            <w:r>
              <w:rPr>
                <w:spacing w:val="-2"/>
                <w:sz w:val="18"/>
              </w:rPr>
              <w:t>10.95</w:t>
            </w:r>
          </w:p>
        </w:tc>
      </w:tr>
      <w:tr>
        <w:trPr>
          <w:trHeight w:val="311" w:hRule="atLeast"/>
        </w:trPr>
        <w:tc>
          <w:tcPr>
            <w:tcW w:w="946" w:type="dxa"/>
          </w:tcPr>
          <w:p>
            <w:pPr>
              <w:pStyle w:val="TableParagraph"/>
              <w:ind w:left="9"/>
              <w:rPr>
                <w:b/>
                <w:sz w:val="18"/>
              </w:rPr>
            </w:pPr>
            <w:r>
              <w:rPr>
                <w:b/>
                <w:sz w:val="18"/>
              </w:rPr>
              <w:t>1</w:t>
            </w:r>
          </w:p>
        </w:tc>
        <w:tc>
          <w:tcPr>
            <w:tcW w:w="946" w:type="dxa"/>
          </w:tcPr>
          <w:p>
            <w:pPr>
              <w:pStyle w:val="TableParagraph"/>
              <w:ind w:left="276" w:right="266"/>
              <w:rPr>
                <w:sz w:val="18"/>
              </w:rPr>
            </w:pPr>
            <w:r>
              <w:rPr>
                <w:spacing w:val="-4"/>
                <w:sz w:val="18"/>
              </w:rPr>
              <w:t>0.43</w:t>
            </w:r>
          </w:p>
        </w:tc>
        <w:tc>
          <w:tcPr>
            <w:tcW w:w="949" w:type="dxa"/>
          </w:tcPr>
          <w:p>
            <w:pPr>
              <w:pStyle w:val="TableParagraph"/>
              <w:ind w:left="313"/>
              <w:jc w:val="left"/>
              <w:rPr>
                <w:sz w:val="18"/>
              </w:rPr>
            </w:pPr>
            <w:r>
              <w:rPr>
                <w:spacing w:val="-4"/>
                <w:sz w:val="18"/>
              </w:rPr>
              <w:t>0.32</w:t>
            </w:r>
          </w:p>
        </w:tc>
        <w:tc>
          <w:tcPr>
            <w:tcW w:w="948" w:type="dxa"/>
          </w:tcPr>
          <w:p>
            <w:pPr>
              <w:pStyle w:val="TableParagraph"/>
              <w:ind w:left="380"/>
              <w:jc w:val="left"/>
              <w:rPr>
                <w:b/>
                <w:sz w:val="18"/>
              </w:rPr>
            </w:pPr>
            <w:r>
              <w:rPr>
                <w:b/>
                <w:spacing w:val="-5"/>
                <w:sz w:val="18"/>
              </w:rPr>
              <w:t>36</w:t>
            </w:r>
          </w:p>
        </w:tc>
        <w:tc>
          <w:tcPr>
            <w:tcW w:w="948" w:type="dxa"/>
          </w:tcPr>
          <w:p>
            <w:pPr>
              <w:pStyle w:val="TableParagraph"/>
              <w:ind w:left="312"/>
              <w:jc w:val="left"/>
              <w:rPr>
                <w:sz w:val="18"/>
              </w:rPr>
            </w:pPr>
            <w:r>
              <w:rPr>
                <w:spacing w:val="-4"/>
                <w:sz w:val="18"/>
              </w:rPr>
              <w:t>0.84</w:t>
            </w:r>
          </w:p>
        </w:tc>
        <w:tc>
          <w:tcPr>
            <w:tcW w:w="948" w:type="dxa"/>
          </w:tcPr>
          <w:p>
            <w:pPr>
              <w:pStyle w:val="TableParagraph"/>
              <w:ind w:left="199" w:right="192"/>
              <w:rPr>
                <w:sz w:val="18"/>
              </w:rPr>
            </w:pPr>
            <w:r>
              <w:rPr>
                <w:spacing w:val="-4"/>
                <w:sz w:val="18"/>
              </w:rPr>
              <w:t>0.34</w:t>
            </w:r>
          </w:p>
        </w:tc>
        <w:tc>
          <w:tcPr>
            <w:tcW w:w="948" w:type="dxa"/>
          </w:tcPr>
          <w:p>
            <w:pPr>
              <w:pStyle w:val="TableParagraph"/>
              <w:ind w:right="368"/>
              <w:jc w:val="right"/>
              <w:rPr>
                <w:b/>
                <w:sz w:val="18"/>
              </w:rPr>
            </w:pPr>
            <w:r>
              <w:rPr>
                <w:b/>
                <w:spacing w:val="-5"/>
                <w:sz w:val="18"/>
              </w:rPr>
              <w:t>71</w:t>
            </w:r>
          </w:p>
        </w:tc>
        <w:tc>
          <w:tcPr>
            <w:tcW w:w="948" w:type="dxa"/>
            <w:tcBorders>
              <w:right w:val="single" w:sz="6" w:space="0" w:color="000000"/>
            </w:tcBorders>
          </w:tcPr>
          <w:p>
            <w:pPr>
              <w:pStyle w:val="TableParagraph"/>
              <w:ind w:left="205" w:right="198"/>
              <w:rPr>
                <w:sz w:val="18"/>
              </w:rPr>
            </w:pPr>
            <w:r>
              <w:rPr>
                <w:spacing w:val="-2"/>
                <w:sz w:val="18"/>
              </w:rPr>
              <w:t>21.68</w:t>
            </w:r>
          </w:p>
        </w:tc>
        <w:tc>
          <w:tcPr>
            <w:tcW w:w="943" w:type="dxa"/>
            <w:tcBorders>
              <w:left w:val="single" w:sz="6" w:space="0" w:color="000000"/>
            </w:tcBorders>
          </w:tcPr>
          <w:p>
            <w:pPr>
              <w:pStyle w:val="TableParagraph"/>
              <w:ind w:left="263"/>
              <w:jc w:val="left"/>
              <w:rPr>
                <w:sz w:val="18"/>
              </w:rPr>
            </w:pPr>
            <w:r>
              <w:rPr>
                <w:spacing w:val="-2"/>
                <w:sz w:val="18"/>
              </w:rPr>
              <w:t>12.52</w:t>
            </w:r>
          </w:p>
        </w:tc>
      </w:tr>
      <w:tr>
        <w:trPr>
          <w:trHeight w:val="311" w:hRule="atLeast"/>
        </w:trPr>
        <w:tc>
          <w:tcPr>
            <w:tcW w:w="946" w:type="dxa"/>
          </w:tcPr>
          <w:p>
            <w:pPr>
              <w:pStyle w:val="TableParagraph"/>
              <w:ind w:left="9"/>
              <w:rPr>
                <w:b/>
                <w:sz w:val="18"/>
              </w:rPr>
            </w:pPr>
            <w:r>
              <w:rPr>
                <w:b/>
                <w:sz w:val="18"/>
              </w:rPr>
              <w:t>2</w:t>
            </w:r>
          </w:p>
        </w:tc>
        <w:tc>
          <w:tcPr>
            <w:tcW w:w="946" w:type="dxa"/>
          </w:tcPr>
          <w:p>
            <w:pPr>
              <w:pStyle w:val="TableParagraph"/>
              <w:ind w:left="276" w:right="266"/>
              <w:rPr>
                <w:sz w:val="18"/>
              </w:rPr>
            </w:pPr>
            <w:r>
              <w:rPr>
                <w:spacing w:val="-4"/>
                <w:sz w:val="18"/>
              </w:rPr>
              <w:t>0.31</w:t>
            </w:r>
          </w:p>
        </w:tc>
        <w:tc>
          <w:tcPr>
            <w:tcW w:w="949" w:type="dxa"/>
          </w:tcPr>
          <w:p>
            <w:pPr>
              <w:pStyle w:val="TableParagraph"/>
              <w:ind w:left="313"/>
              <w:jc w:val="left"/>
              <w:rPr>
                <w:sz w:val="18"/>
              </w:rPr>
            </w:pPr>
            <w:r>
              <w:rPr>
                <w:spacing w:val="-4"/>
                <w:sz w:val="18"/>
              </w:rPr>
              <w:t>0.24</w:t>
            </w:r>
          </w:p>
        </w:tc>
        <w:tc>
          <w:tcPr>
            <w:tcW w:w="948" w:type="dxa"/>
          </w:tcPr>
          <w:p>
            <w:pPr>
              <w:pStyle w:val="TableParagraph"/>
              <w:ind w:left="382"/>
              <w:jc w:val="left"/>
              <w:rPr>
                <w:b/>
                <w:sz w:val="18"/>
              </w:rPr>
            </w:pPr>
            <w:r>
              <w:rPr>
                <w:b/>
                <w:spacing w:val="-5"/>
                <w:sz w:val="18"/>
              </w:rPr>
              <w:t>37</w:t>
            </w:r>
          </w:p>
        </w:tc>
        <w:tc>
          <w:tcPr>
            <w:tcW w:w="948" w:type="dxa"/>
          </w:tcPr>
          <w:p>
            <w:pPr>
              <w:pStyle w:val="TableParagraph"/>
              <w:ind w:left="312"/>
              <w:jc w:val="left"/>
              <w:rPr>
                <w:sz w:val="18"/>
              </w:rPr>
            </w:pPr>
            <w:r>
              <w:rPr>
                <w:spacing w:val="-4"/>
                <w:sz w:val="18"/>
              </w:rPr>
              <w:t>0.90</w:t>
            </w:r>
          </w:p>
        </w:tc>
        <w:tc>
          <w:tcPr>
            <w:tcW w:w="948" w:type="dxa"/>
          </w:tcPr>
          <w:p>
            <w:pPr>
              <w:pStyle w:val="TableParagraph"/>
              <w:ind w:left="199" w:right="192"/>
              <w:rPr>
                <w:sz w:val="18"/>
              </w:rPr>
            </w:pPr>
            <w:r>
              <w:rPr>
                <w:spacing w:val="-4"/>
                <w:sz w:val="18"/>
              </w:rPr>
              <w:t>0.37</w:t>
            </w:r>
          </w:p>
        </w:tc>
        <w:tc>
          <w:tcPr>
            <w:tcW w:w="948" w:type="dxa"/>
          </w:tcPr>
          <w:p>
            <w:pPr>
              <w:pStyle w:val="TableParagraph"/>
              <w:ind w:right="375"/>
              <w:jc w:val="right"/>
              <w:rPr>
                <w:b/>
                <w:sz w:val="18"/>
              </w:rPr>
            </w:pPr>
            <w:r>
              <w:rPr>
                <w:b/>
                <w:spacing w:val="-5"/>
                <w:sz w:val="18"/>
              </w:rPr>
              <w:t>72</w:t>
            </w:r>
          </w:p>
        </w:tc>
        <w:tc>
          <w:tcPr>
            <w:tcW w:w="948" w:type="dxa"/>
            <w:tcBorders>
              <w:right w:val="single" w:sz="6" w:space="0" w:color="000000"/>
            </w:tcBorders>
          </w:tcPr>
          <w:p>
            <w:pPr>
              <w:pStyle w:val="TableParagraph"/>
              <w:ind w:left="205" w:right="198"/>
              <w:rPr>
                <w:sz w:val="18"/>
              </w:rPr>
            </w:pPr>
            <w:r>
              <w:rPr>
                <w:spacing w:val="-2"/>
                <w:sz w:val="18"/>
              </w:rPr>
              <w:t>24.38</w:t>
            </w:r>
          </w:p>
        </w:tc>
        <w:tc>
          <w:tcPr>
            <w:tcW w:w="943" w:type="dxa"/>
            <w:tcBorders>
              <w:left w:val="single" w:sz="6" w:space="0" w:color="000000"/>
            </w:tcBorders>
          </w:tcPr>
          <w:p>
            <w:pPr>
              <w:pStyle w:val="TableParagraph"/>
              <w:ind w:left="263"/>
              <w:jc w:val="left"/>
              <w:rPr>
                <w:sz w:val="18"/>
              </w:rPr>
            </w:pPr>
            <w:r>
              <w:rPr>
                <w:spacing w:val="-2"/>
                <w:sz w:val="18"/>
              </w:rPr>
              <w:t>14.30</w:t>
            </w:r>
          </w:p>
        </w:tc>
      </w:tr>
      <w:tr>
        <w:trPr>
          <w:trHeight w:val="311" w:hRule="atLeast"/>
        </w:trPr>
        <w:tc>
          <w:tcPr>
            <w:tcW w:w="946" w:type="dxa"/>
          </w:tcPr>
          <w:p>
            <w:pPr>
              <w:pStyle w:val="TableParagraph"/>
              <w:ind w:left="9"/>
              <w:rPr>
                <w:b/>
                <w:sz w:val="18"/>
              </w:rPr>
            </w:pPr>
            <w:r>
              <w:rPr>
                <w:b/>
                <w:sz w:val="18"/>
              </w:rPr>
              <w:t>3</w:t>
            </w:r>
          </w:p>
        </w:tc>
        <w:tc>
          <w:tcPr>
            <w:tcW w:w="946" w:type="dxa"/>
          </w:tcPr>
          <w:p>
            <w:pPr>
              <w:pStyle w:val="TableParagraph"/>
              <w:ind w:left="276" w:right="266"/>
              <w:rPr>
                <w:sz w:val="18"/>
              </w:rPr>
            </w:pPr>
            <w:r>
              <w:rPr>
                <w:spacing w:val="-4"/>
                <w:sz w:val="18"/>
              </w:rPr>
              <w:t>0.24</w:t>
            </w:r>
          </w:p>
        </w:tc>
        <w:tc>
          <w:tcPr>
            <w:tcW w:w="949" w:type="dxa"/>
          </w:tcPr>
          <w:p>
            <w:pPr>
              <w:pStyle w:val="TableParagraph"/>
              <w:ind w:left="313"/>
              <w:jc w:val="left"/>
              <w:rPr>
                <w:sz w:val="18"/>
              </w:rPr>
            </w:pPr>
            <w:r>
              <w:rPr>
                <w:spacing w:val="-4"/>
                <w:sz w:val="18"/>
              </w:rPr>
              <w:t>0.18</w:t>
            </w:r>
          </w:p>
        </w:tc>
        <w:tc>
          <w:tcPr>
            <w:tcW w:w="948" w:type="dxa"/>
          </w:tcPr>
          <w:p>
            <w:pPr>
              <w:pStyle w:val="TableParagraph"/>
              <w:ind w:left="380"/>
              <w:jc w:val="left"/>
              <w:rPr>
                <w:b/>
                <w:sz w:val="18"/>
              </w:rPr>
            </w:pPr>
            <w:r>
              <w:rPr>
                <w:b/>
                <w:spacing w:val="-5"/>
                <w:sz w:val="18"/>
              </w:rPr>
              <w:t>38</w:t>
            </w:r>
          </w:p>
        </w:tc>
        <w:tc>
          <w:tcPr>
            <w:tcW w:w="948" w:type="dxa"/>
          </w:tcPr>
          <w:p>
            <w:pPr>
              <w:pStyle w:val="TableParagraph"/>
              <w:ind w:left="312"/>
              <w:jc w:val="left"/>
              <w:rPr>
                <w:sz w:val="18"/>
              </w:rPr>
            </w:pPr>
            <w:r>
              <w:rPr>
                <w:spacing w:val="-4"/>
                <w:sz w:val="18"/>
              </w:rPr>
              <w:t>0.98</w:t>
            </w:r>
          </w:p>
        </w:tc>
        <w:tc>
          <w:tcPr>
            <w:tcW w:w="948" w:type="dxa"/>
          </w:tcPr>
          <w:p>
            <w:pPr>
              <w:pStyle w:val="TableParagraph"/>
              <w:ind w:left="199" w:right="192"/>
              <w:rPr>
                <w:sz w:val="18"/>
              </w:rPr>
            </w:pPr>
            <w:r>
              <w:rPr>
                <w:spacing w:val="-4"/>
                <w:sz w:val="18"/>
              </w:rPr>
              <w:t>0.40</w:t>
            </w:r>
          </w:p>
        </w:tc>
        <w:tc>
          <w:tcPr>
            <w:tcW w:w="948" w:type="dxa"/>
          </w:tcPr>
          <w:p>
            <w:pPr>
              <w:pStyle w:val="TableParagraph"/>
              <w:ind w:right="373"/>
              <w:jc w:val="right"/>
              <w:rPr>
                <w:b/>
                <w:sz w:val="18"/>
              </w:rPr>
            </w:pPr>
            <w:r>
              <w:rPr>
                <w:b/>
                <w:spacing w:val="-5"/>
                <w:sz w:val="18"/>
              </w:rPr>
              <w:t>73</w:t>
            </w:r>
          </w:p>
        </w:tc>
        <w:tc>
          <w:tcPr>
            <w:tcW w:w="948" w:type="dxa"/>
            <w:tcBorders>
              <w:right w:val="single" w:sz="6" w:space="0" w:color="000000"/>
            </w:tcBorders>
          </w:tcPr>
          <w:p>
            <w:pPr>
              <w:pStyle w:val="TableParagraph"/>
              <w:ind w:left="205" w:right="198"/>
              <w:rPr>
                <w:sz w:val="18"/>
              </w:rPr>
            </w:pPr>
            <w:r>
              <w:rPr>
                <w:spacing w:val="-2"/>
                <w:sz w:val="18"/>
              </w:rPr>
              <w:t>27.37</w:t>
            </w:r>
          </w:p>
        </w:tc>
        <w:tc>
          <w:tcPr>
            <w:tcW w:w="943" w:type="dxa"/>
            <w:tcBorders>
              <w:left w:val="single" w:sz="6" w:space="0" w:color="000000"/>
            </w:tcBorders>
          </w:tcPr>
          <w:p>
            <w:pPr>
              <w:pStyle w:val="TableParagraph"/>
              <w:ind w:left="263"/>
              <w:jc w:val="left"/>
              <w:rPr>
                <w:sz w:val="18"/>
              </w:rPr>
            </w:pPr>
            <w:r>
              <w:rPr>
                <w:spacing w:val="-2"/>
                <w:sz w:val="18"/>
              </w:rPr>
              <w:t>16.31</w:t>
            </w:r>
          </w:p>
        </w:tc>
      </w:tr>
      <w:tr>
        <w:trPr>
          <w:trHeight w:val="311" w:hRule="atLeast"/>
        </w:trPr>
        <w:tc>
          <w:tcPr>
            <w:tcW w:w="946" w:type="dxa"/>
          </w:tcPr>
          <w:p>
            <w:pPr>
              <w:pStyle w:val="TableParagraph"/>
              <w:ind w:left="9"/>
              <w:rPr>
                <w:b/>
                <w:sz w:val="18"/>
              </w:rPr>
            </w:pPr>
            <w:r>
              <w:rPr>
                <w:b/>
                <w:sz w:val="18"/>
              </w:rPr>
              <w:t>4</w:t>
            </w:r>
          </w:p>
        </w:tc>
        <w:tc>
          <w:tcPr>
            <w:tcW w:w="946" w:type="dxa"/>
          </w:tcPr>
          <w:p>
            <w:pPr>
              <w:pStyle w:val="TableParagraph"/>
              <w:ind w:left="276" w:right="266"/>
              <w:rPr>
                <w:sz w:val="18"/>
              </w:rPr>
            </w:pPr>
            <w:r>
              <w:rPr>
                <w:spacing w:val="-4"/>
                <w:sz w:val="18"/>
              </w:rPr>
              <w:t>0.20</w:t>
            </w:r>
          </w:p>
        </w:tc>
        <w:tc>
          <w:tcPr>
            <w:tcW w:w="949" w:type="dxa"/>
          </w:tcPr>
          <w:p>
            <w:pPr>
              <w:pStyle w:val="TableParagraph"/>
              <w:ind w:left="313"/>
              <w:jc w:val="left"/>
              <w:rPr>
                <w:sz w:val="18"/>
              </w:rPr>
            </w:pPr>
            <w:r>
              <w:rPr>
                <w:spacing w:val="-4"/>
                <w:sz w:val="18"/>
              </w:rPr>
              <w:t>0.14</w:t>
            </w:r>
          </w:p>
        </w:tc>
        <w:tc>
          <w:tcPr>
            <w:tcW w:w="948" w:type="dxa"/>
          </w:tcPr>
          <w:p>
            <w:pPr>
              <w:pStyle w:val="TableParagraph"/>
              <w:ind w:left="380"/>
              <w:jc w:val="left"/>
              <w:rPr>
                <w:b/>
                <w:sz w:val="18"/>
              </w:rPr>
            </w:pPr>
            <w:r>
              <w:rPr>
                <w:b/>
                <w:spacing w:val="-5"/>
                <w:sz w:val="18"/>
              </w:rPr>
              <w:t>39</w:t>
            </w:r>
          </w:p>
        </w:tc>
        <w:tc>
          <w:tcPr>
            <w:tcW w:w="948" w:type="dxa"/>
          </w:tcPr>
          <w:p>
            <w:pPr>
              <w:pStyle w:val="TableParagraph"/>
              <w:ind w:left="312"/>
              <w:jc w:val="left"/>
              <w:rPr>
                <w:sz w:val="18"/>
              </w:rPr>
            </w:pPr>
            <w:r>
              <w:rPr>
                <w:spacing w:val="-4"/>
                <w:sz w:val="18"/>
              </w:rPr>
              <w:t>1.06</w:t>
            </w:r>
          </w:p>
        </w:tc>
        <w:tc>
          <w:tcPr>
            <w:tcW w:w="948" w:type="dxa"/>
          </w:tcPr>
          <w:p>
            <w:pPr>
              <w:pStyle w:val="TableParagraph"/>
              <w:ind w:left="199" w:right="192"/>
              <w:rPr>
                <w:sz w:val="18"/>
              </w:rPr>
            </w:pPr>
            <w:r>
              <w:rPr>
                <w:spacing w:val="-4"/>
                <w:sz w:val="18"/>
              </w:rPr>
              <w:t>0.44</w:t>
            </w:r>
          </w:p>
        </w:tc>
        <w:tc>
          <w:tcPr>
            <w:tcW w:w="948" w:type="dxa"/>
          </w:tcPr>
          <w:p>
            <w:pPr>
              <w:pStyle w:val="TableParagraph"/>
              <w:ind w:right="380"/>
              <w:jc w:val="right"/>
              <w:rPr>
                <w:b/>
                <w:sz w:val="18"/>
              </w:rPr>
            </w:pPr>
            <w:r>
              <w:rPr>
                <w:b/>
                <w:spacing w:val="-5"/>
                <w:sz w:val="18"/>
              </w:rPr>
              <w:t>74</w:t>
            </w:r>
          </w:p>
        </w:tc>
        <w:tc>
          <w:tcPr>
            <w:tcW w:w="948" w:type="dxa"/>
            <w:tcBorders>
              <w:right w:val="single" w:sz="6" w:space="0" w:color="000000"/>
            </w:tcBorders>
          </w:tcPr>
          <w:p>
            <w:pPr>
              <w:pStyle w:val="TableParagraph"/>
              <w:ind w:left="205" w:right="198"/>
              <w:rPr>
                <w:sz w:val="18"/>
              </w:rPr>
            </w:pPr>
            <w:r>
              <w:rPr>
                <w:spacing w:val="-2"/>
                <w:sz w:val="18"/>
              </w:rPr>
              <w:t>30.66</w:t>
            </w:r>
          </w:p>
        </w:tc>
        <w:tc>
          <w:tcPr>
            <w:tcW w:w="943" w:type="dxa"/>
            <w:tcBorders>
              <w:left w:val="single" w:sz="6" w:space="0" w:color="000000"/>
            </w:tcBorders>
          </w:tcPr>
          <w:p>
            <w:pPr>
              <w:pStyle w:val="TableParagraph"/>
              <w:ind w:left="265"/>
              <w:jc w:val="left"/>
              <w:rPr>
                <w:sz w:val="18"/>
              </w:rPr>
            </w:pPr>
            <w:r>
              <w:rPr>
                <w:spacing w:val="-2"/>
                <w:sz w:val="18"/>
              </w:rPr>
              <w:t>18.57</w:t>
            </w:r>
          </w:p>
        </w:tc>
      </w:tr>
      <w:tr>
        <w:trPr>
          <w:trHeight w:val="311" w:hRule="atLeast"/>
        </w:trPr>
        <w:tc>
          <w:tcPr>
            <w:tcW w:w="946" w:type="dxa"/>
          </w:tcPr>
          <w:p>
            <w:pPr>
              <w:pStyle w:val="TableParagraph"/>
              <w:ind w:left="9"/>
              <w:rPr>
                <w:b/>
                <w:sz w:val="18"/>
              </w:rPr>
            </w:pPr>
            <w:r>
              <w:rPr>
                <w:b/>
                <w:sz w:val="18"/>
              </w:rPr>
              <w:t>5</w:t>
            </w:r>
          </w:p>
        </w:tc>
        <w:tc>
          <w:tcPr>
            <w:tcW w:w="946" w:type="dxa"/>
          </w:tcPr>
          <w:p>
            <w:pPr>
              <w:pStyle w:val="TableParagraph"/>
              <w:ind w:left="276" w:right="266"/>
              <w:rPr>
                <w:sz w:val="18"/>
              </w:rPr>
            </w:pPr>
            <w:r>
              <w:rPr>
                <w:spacing w:val="-4"/>
                <w:sz w:val="18"/>
              </w:rPr>
              <w:t>0.18</w:t>
            </w:r>
          </w:p>
        </w:tc>
        <w:tc>
          <w:tcPr>
            <w:tcW w:w="949" w:type="dxa"/>
          </w:tcPr>
          <w:p>
            <w:pPr>
              <w:pStyle w:val="TableParagraph"/>
              <w:ind w:left="313"/>
              <w:jc w:val="left"/>
              <w:rPr>
                <w:sz w:val="18"/>
              </w:rPr>
            </w:pPr>
            <w:r>
              <w:rPr>
                <w:spacing w:val="-4"/>
                <w:sz w:val="18"/>
              </w:rPr>
              <w:t>0.12</w:t>
            </w:r>
          </w:p>
        </w:tc>
        <w:tc>
          <w:tcPr>
            <w:tcW w:w="948" w:type="dxa"/>
          </w:tcPr>
          <w:p>
            <w:pPr>
              <w:pStyle w:val="TableParagraph"/>
              <w:ind w:left="380"/>
              <w:jc w:val="left"/>
              <w:rPr>
                <w:b/>
                <w:sz w:val="18"/>
              </w:rPr>
            </w:pPr>
            <w:r>
              <w:rPr>
                <w:b/>
                <w:spacing w:val="-5"/>
                <w:sz w:val="18"/>
              </w:rPr>
              <w:t>40</w:t>
            </w:r>
          </w:p>
        </w:tc>
        <w:tc>
          <w:tcPr>
            <w:tcW w:w="948" w:type="dxa"/>
          </w:tcPr>
          <w:p>
            <w:pPr>
              <w:pStyle w:val="TableParagraph"/>
              <w:ind w:left="312"/>
              <w:jc w:val="left"/>
              <w:rPr>
                <w:sz w:val="18"/>
              </w:rPr>
            </w:pPr>
            <w:r>
              <w:rPr>
                <w:spacing w:val="-4"/>
                <w:sz w:val="18"/>
              </w:rPr>
              <w:t>1.16</w:t>
            </w:r>
          </w:p>
        </w:tc>
        <w:tc>
          <w:tcPr>
            <w:tcW w:w="948" w:type="dxa"/>
          </w:tcPr>
          <w:p>
            <w:pPr>
              <w:pStyle w:val="TableParagraph"/>
              <w:ind w:left="199" w:right="192"/>
              <w:rPr>
                <w:sz w:val="18"/>
              </w:rPr>
            </w:pPr>
            <w:r>
              <w:rPr>
                <w:spacing w:val="-4"/>
                <w:sz w:val="18"/>
              </w:rPr>
              <w:t>0.48</w:t>
            </w:r>
          </w:p>
        </w:tc>
        <w:tc>
          <w:tcPr>
            <w:tcW w:w="948" w:type="dxa"/>
          </w:tcPr>
          <w:p>
            <w:pPr>
              <w:pStyle w:val="TableParagraph"/>
              <w:ind w:right="373"/>
              <w:jc w:val="right"/>
              <w:rPr>
                <w:b/>
                <w:sz w:val="18"/>
              </w:rPr>
            </w:pPr>
            <w:r>
              <w:rPr>
                <w:b/>
                <w:spacing w:val="-5"/>
                <w:sz w:val="18"/>
              </w:rPr>
              <w:t>75</w:t>
            </w:r>
          </w:p>
        </w:tc>
        <w:tc>
          <w:tcPr>
            <w:tcW w:w="948" w:type="dxa"/>
            <w:tcBorders>
              <w:right w:val="single" w:sz="6" w:space="0" w:color="000000"/>
            </w:tcBorders>
          </w:tcPr>
          <w:p>
            <w:pPr>
              <w:pStyle w:val="TableParagraph"/>
              <w:ind w:left="205" w:right="198"/>
              <w:rPr>
                <w:sz w:val="18"/>
              </w:rPr>
            </w:pPr>
            <w:r>
              <w:rPr>
                <w:spacing w:val="-2"/>
                <w:sz w:val="18"/>
              </w:rPr>
              <w:t>34.24</w:t>
            </w:r>
          </w:p>
        </w:tc>
        <w:tc>
          <w:tcPr>
            <w:tcW w:w="943" w:type="dxa"/>
            <w:tcBorders>
              <w:left w:val="single" w:sz="6" w:space="0" w:color="000000"/>
            </w:tcBorders>
          </w:tcPr>
          <w:p>
            <w:pPr>
              <w:pStyle w:val="TableParagraph"/>
              <w:ind w:left="263"/>
              <w:jc w:val="left"/>
              <w:rPr>
                <w:sz w:val="18"/>
              </w:rPr>
            </w:pPr>
            <w:r>
              <w:rPr>
                <w:spacing w:val="-2"/>
                <w:sz w:val="18"/>
              </w:rPr>
              <w:t>21.10</w:t>
            </w:r>
          </w:p>
        </w:tc>
      </w:tr>
      <w:tr>
        <w:trPr>
          <w:trHeight w:val="313" w:hRule="atLeast"/>
        </w:trPr>
        <w:tc>
          <w:tcPr>
            <w:tcW w:w="946" w:type="dxa"/>
          </w:tcPr>
          <w:p>
            <w:pPr>
              <w:pStyle w:val="TableParagraph"/>
              <w:spacing w:before="47"/>
              <w:ind w:left="9"/>
              <w:rPr>
                <w:b/>
                <w:sz w:val="18"/>
              </w:rPr>
            </w:pPr>
            <w:r>
              <w:rPr>
                <w:b/>
                <w:sz w:val="18"/>
              </w:rPr>
              <w:t>6</w:t>
            </w:r>
          </w:p>
        </w:tc>
        <w:tc>
          <w:tcPr>
            <w:tcW w:w="946" w:type="dxa"/>
          </w:tcPr>
          <w:p>
            <w:pPr>
              <w:pStyle w:val="TableParagraph"/>
              <w:spacing w:before="47"/>
              <w:ind w:left="274" w:right="266"/>
              <w:rPr>
                <w:sz w:val="18"/>
              </w:rPr>
            </w:pPr>
            <w:r>
              <w:rPr>
                <w:spacing w:val="-4"/>
                <w:sz w:val="18"/>
              </w:rPr>
              <w:t>0.17</w:t>
            </w:r>
          </w:p>
        </w:tc>
        <w:tc>
          <w:tcPr>
            <w:tcW w:w="949" w:type="dxa"/>
          </w:tcPr>
          <w:p>
            <w:pPr>
              <w:pStyle w:val="TableParagraph"/>
              <w:spacing w:before="47"/>
              <w:ind w:left="313"/>
              <w:jc w:val="left"/>
              <w:rPr>
                <w:sz w:val="18"/>
              </w:rPr>
            </w:pPr>
            <w:r>
              <w:rPr>
                <w:spacing w:val="-4"/>
                <w:sz w:val="18"/>
              </w:rPr>
              <w:t>0.10</w:t>
            </w:r>
          </w:p>
        </w:tc>
        <w:tc>
          <w:tcPr>
            <w:tcW w:w="948" w:type="dxa"/>
          </w:tcPr>
          <w:p>
            <w:pPr>
              <w:pStyle w:val="TableParagraph"/>
              <w:spacing w:before="47"/>
              <w:ind w:left="380"/>
              <w:jc w:val="left"/>
              <w:rPr>
                <w:b/>
                <w:sz w:val="18"/>
              </w:rPr>
            </w:pPr>
            <w:r>
              <w:rPr>
                <w:b/>
                <w:spacing w:val="-5"/>
                <w:sz w:val="18"/>
              </w:rPr>
              <w:t>41</w:t>
            </w:r>
          </w:p>
        </w:tc>
        <w:tc>
          <w:tcPr>
            <w:tcW w:w="948" w:type="dxa"/>
          </w:tcPr>
          <w:p>
            <w:pPr>
              <w:pStyle w:val="TableParagraph"/>
              <w:spacing w:before="47"/>
              <w:ind w:left="312"/>
              <w:jc w:val="left"/>
              <w:rPr>
                <w:sz w:val="18"/>
              </w:rPr>
            </w:pPr>
            <w:r>
              <w:rPr>
                <w:spacing w:val="-4"/>
                <w:sz w:val="18"/>
              </w:rPr>
              <w:t>1.26</w:t>
            </w:r>
          </w:p>
        </w:tc>
        <w:tc>
          <w:tcPr>
            <w:tcW w:w="948" w:type="dxa"/>
          </w:tcPr>
          <w:p>
            <w:pPr>
              <w:pStyle w:val="TableParagraph"/>
              <w:spacing w:before="47"/>
              <w:ind w:left="199" w:right="192"/>
              <w:rPr>
                <w:sz w:val="18"/>
              </w:rPr>
            </w:pPr>
            <w:r>
              <w:rPr>
                <w:spacing w:val="-4"/>
                <w:sz w:val="18"/>
              </w:rPr>
              <w:t>0.53</w:t>
            </w:r>
          </w:p>
        </w:tc>
        <w:tc>
          <w:tcPr>
            <w:tcW w:w="948" w:type="dxa"/>
          </w:tcPr>
          <w:p>
            <w:pPr>
              <w:pStyle w:val="TableParagraph"/>
              <w:spacing w:before="47"/>
              <w:ind w:right="375"/>
              <w:jc w:val="right"/>
              <w:rPr>
                <w:b/>
                <w:sz w:val="18"/>
              </w:rPr>
            </w:pPr>
            <w:r>
              <w:rPr>
                <w:b/>
                <w:spacing w:val="-5"/>
                <w:sz w:val="18"/>
              </w:rPr>
              <w:t>76</w:t>
            </w:r>
          </w:p>
        </w:tc>
        <w:tc>
          <w:tcPr>
            <w:tcW w:w="948" w:type="dxa"/>
            <w:tcBorders>
              <w:right w:val="single" w:sz="6" w:space="0" w:color="000000"/>
            </w:tcBorders>
          </w:tcPr>
          <w:p>
            <w:pPr>
              <w:pStyle w:val="TableParagraph"/>
              <w:spacing w:before="47"/>
              <w:ind w:left="205" w:right="198"/>
              <w:rPr>
                <w:sz w:val="18"/>
              </w:rPr>
            </w:pPr>
            <w:r>
              <w:rPr>
                <w:spacing w:val="-2"/>
                <w:sz w:val="18"/>
              </w:rPr>
              <w:t>38.15</w:t>
            </w:r>
          </w:p>
        </w:tc>
        <w:tc>
          <w:tcPr>
            <w:tcW w:w="943" w:type="dxa"/>
            <w:tcBorders>
              <w:left w:val="single" w:sz="6" w:space="0" w:color="000000"/>
            </w:tcBorders>
          </w:tcPr>
          <w:p>
            <w:pPr>
              <w:pStyle w:val="TableParagraph"/>
              <w:spacing w:before="47"/>
              <w:ind w:left="263"/>
              <w:jc w:val="left"/>
              <w:rPr>
                <w:sz w:val="18"/>
              </w:rPr>
            </w:pPr>
            <w:r>
              <w:rPr>
                <w:spacing w:val="-2"/>
                <w:sz w:val="18"/>
              </w:rPr>
              <w:t>23.92</w:t>
            </w:r>
          </w:p>
        </w:tc>
      </w:tr>
      <w:tr>
        <w:trPr>
          <w:trHeight w:val="311" w:hRule="atLeast"/>
        </w:trPr>
        <w:tc>
          <w:tcPr>
            <w:tcW w:w="946" w:type="dxa"/>
          </w:tcPr>
          <w:p>
            <w:pPr>
              <w:pStyle w:val="TableParagraph"/>
              <w:ind w:left="9"/>
              <w:rPr>
                <w:b/>
                <w:sz w:val="18"/>
              </w:rPr>
            </w:pPr>
            <w:r>
              <w:rPr>
                <w:b/>
                <w:sz w:val="18"/>
              </w:rPr>
              <w:t>7</w:t>
            </w:r>
          </w:p>
        </w:tc>
        <w:tc>
          <w:tcPr>
            <w:tcW w:w="946" w:type="dxa"/>
          </w:tcPr>
          <w:p>
            <w:pPr>
              <w:pStyle w:val="TableParagraph"/>
              <w:ind w:left="276" w:right="266"/>
              <w:rPr>
                <w:sz w:val="18"/>
              </w:rPr>
            </w:pPr>
            <w:r>
              <w:rPr>
                <w:spacing w:val="-4"/>
                <w:sz w:val="18"/>
              </w:rPr>
              <w:t>0.16</w:t>
            </w:r>
          </w:p>
        </w:tc>
        <w:tc>
          <w:tcPr>
            <w:tcW w:w="949" w:type="dxa"/>
          </w:tcPr>
          <w:p>
            <w:pPr>
              <w:pStyle w:val="TableParagraph"/>
              <w:ind w:left="313"/>
              <w:jc w:val="left"/>
              <w:rPr>
                <w:sz w:val="18"/>
              </w:rPr>
            </w:pPr>
            <w:r>
              <w:rPr>
                <w:spacing w:val="-4"/>
                <w:sz w:val="18"/>
              </w:rPr>
              <w:t>0.10</w:t>
            </w:r>
          </w:p>
        </w:tc>
        <w:tc>
          <w:tcPr>
            <w:tcW w:w="948" w:type="dxa"/>
          </w:tcPr>
          <w:p>
            <w:pPr>
              <w:pStyle w:val="TableParagraph"/>
              <w:ind w:left="380"/>
              <w:jc w:val="left"/>
              <w:rPr>
                <w:b/>
                <w:sz w:val="18"/>
              </w:rPr>
            </w:pPr>
            <w:r>
              <w:rPr>
                <w:b/>
                <w:spacing w:val="-5"/>
                <w:sz w:val="18"/>
              </w:rPr>
              <w:t>42</w:t>
            </w:r>
          </w:p>
        </w:tc>
        <w:tc>
          <w:tcPr>
            <w:tcW w:w="948" w:type="dxa"/>
          </w:tcPr>
          <w:p>
            <w:pPr>
              <w:pStyle w:val="TableParagraph"/>
              <w:ind w:left="312"/>
              <w:jc w:val="left"/>
              <w:rPr>
                <w:sz w:val="18"/>
              </w:rPr>
            </w:pPr>
            <w:r>
              <w:rPr>
                <w:spacing w:val="-4"/>
                <w:sz w:val="18"/>
              </w:rPr>
              <w:t>1.38</w:t>
            </w:r>
          </w:p>
        </w:tc>
        <w:tc>
          <w:tcPr>
            <w:tcW w:w="948" w:type="dxa"/>
          </w:tcPr>
          <w:p>
            <w:pPr>
              <w:pStyle w:val="TableParagraph"/>
              <w:ind w:left="199" w:right="192"/>
              <w:rPr>
                <w:sz w:val="18"/>
              </w:rPr>
            </w:pPr>
            <w:r>
              <w:rPr>
                <w:spacing w:val="-4"/>
                <w:sz w:val="18"/>
              </w:rPr>
              <w:t>0.59</w:t>
            </w:r>
          </w:p>
        </w:tc>
        <w:tc>
          <w:tcPr>
            <w:tcW w:w="948" w:type="dxa"/>
          </w:tcPr>
          <w:p>
            <w:pPr>
              <w:pStyle w:val="TableParagraph"/>
              <w:ind w:right="373"/>
              <w:jc w:val="right"/>
              <w:rPr>
                <w:b/>
                <w:sz w:val="18"/>
              </w:rPr>
            </w:pPr>
            <w:r>
              <w:rPr>
                <w:b/>
                <w:spacing w:val="-5"/>
                <w:sz w:val="18"/>
              </w:rPr>
              <w:t>77</w:t>
            </w:r>
          </w:p>
        </w:tc>
        <w:tc>
          <w:tcPr>
            <w:tcW w:w="948" w:type="dxa"/>
            <w:tcBorders>
              <w:right w:val="single" w:sz="6" w:space="0" w:color="000000"/>
            </w:tcBorders>
          </w:tcPr>
          <w:p>
            <w:pPr>
              <w:pStyle w:val="TableParagraph"/>
              <w:ind w:left="205" w:right="198"/>
              <w:rPr>
                <w:sz w:val="18"/>
              </w:rPr>
            </w:pPr>
            <w:r>
              <w:rPr>
                <w:spacing w:val="-2"/>
                <w:sz w:val="18"/>
              </w:rPr>
              <w:t>42.41</w:t>
            </w:r>
          </w:p>
        </w:tc>
        <w:tc>
          <w:tcPr>
            <w:tcW w:w="943" w:type="dxa"/>
            <w:tcBorders>
              <w:left w:val="single" w:sz="6" w:space="0" w:color="000000"/>
            </w:tcBorders>
          </w:tcPr>
          <w:p>
            <w:pPr>
              <w:pStyle w:val="TableParagraph"/>
              <w:ind w:left="265"/>
              <w:jc w:val="left"/>
              <w:rPr>
                <w:sz w:val="18"/>
              </w:rPr>
            </w:pPr>
            <w:r>
              <w:rPr>
                <w:spacing w:val="-2"/>
                <w:sz w:val="18"/>
              </w:rPr>
              <w:t>27.06</w:t>
            </w:r>
          </w:p>
        </w:tc>
      </w:tr>
      <w:tr>
        <w:trPr>
          <w:trHeight w:val="311" w:hRule="atLeast"/>
        </w:trPr>
        <w:tc>
          <w:tcPr>
            <w:tcW w:w="946" w:type="dxa"/>
          </w:tcPr>
          <w:p>
            <w:pPr>
              <w:pStyle w:val="TableParagraph"/>
              <w:ind w:left="9"/>
              <w:rPr>
                <w:b/>
                <w:sz w:val="18"/>
              </w:rPr>
            </w:pPr>
            <w:r>
              <w:rPr>
                <w:b/>
                <w:sz w:val="18"/>
              </w:rPr>
              <w:t>8</w:t>
            </w:r>
          </w:p>
        </w:tc>
        <w:tc>
          <w:tcPr>
            <w:tcW w:w="946" w:type="dxa"/>
          </w:tcPr>
          <w:p>
            <w:pPr>
              <w:pStyle w:val="TableParagraph"/>
              <w:ind w:left="274" w:right="266"/>
              <w:rPr>
                <w:sz w:val="18"/>
              </w:rPr>
            </w:pPr>
            <w:r>
              <w:rPr>
                <w:spacing w:val="-4"/>
                <w:sz w:val="18"/>
              </w:rPr>
              <w:t>0.17</w:t>
            </w:r>
          </w:p>
        </w:tc>
        <w:tc>
          <w:tcPr>
            <w:tcW w:w="949" w:type="dxa"/>
          </w:tcPr>
          <w:p>
            <w:pPr>
              <w:pStyle w:val="TableParagraph"/>
              <w:ind w:left="313"/>
              <w:jc w:val="left"/>
              <w:rPr>
                <w:sz w:val="18"/>
              </w:rPr>
            </w:pPr>
            <w:r>
              <w:rPr>
                <w:spacing w:val="-4"/>
                <w:sz w:val="18"/>
              </w:rPr>
              <w:t>0.09</w:t>
            </w:r>
          </w:p>
        </w:tc>
        <w:tc>
          <w:tcPr>
            <w:tcW w:w="948" w:type="dxa"/>
          </w:tcPr>
          <w:p>
            <w:pPr>
              <w:pStyle w:val="TableParagraph"/>
              <w:ind w:left="380"/>
              <w:jc w:val="left"/>
              <w:rPr>
                <w:b/>
                <w:sz w:val="18"/>
              </w:rPr>
            </w:pPr>
            <w:r>
              <w:rPr>
                <w:b/>
                <w:spacing w:val="-5"/>
                <w:sz w:val="18"/>
              </w:rPr>
              <w:t>43</w:t>
            </w:r>
          </w:p>
        </w:tc>
        <w:tc>
          <w:tcPr>
            <w:tcW w:w="948" w:type="dxa"/>
          </w:tcPr>
          <w:p>
            <w:pPr>
              <w:pStyle w:val="TableParagraph"/>
              <w:ind w:left="312"/>
              <w:jc w:val="left"/>
              <w:rPr>
                <w:sz w:val="18"/>
              </w:rPr>
            </w:pPr>
            <w:r>
              <w:rPr>
                <w:spacing w:val="-4"/>
                <w:sz w:val="18"/>
              </w:rPr>
              <w:t>1.52</w:t>
            </w:r>
          </w:p>
        </w:tc>
        <w:tc>
          <w:tcPr>
            <w:tcW w:w="948" w:type="dxa"/>
          </w:tcPr>
          <w:p>
            <w:pPr>
              <w:pStyle w:val="TableParagraph"/>
              <w:ind w:left="199" w:right="192"/>
              <w:rPr>
                <w:sz w:val="18"/>
              </w:rPr>
            </w:pPr>
            <w:r>
              <w:rPr>
                <w:spacing w:val="-4"/>
                <w:sz w:val="18"/>
              </w:rPr>
              <w:t>0.65</w:t>
            </w:r>
          </w:p>
        </w:tc>
        <w:tc>
          <w:tcPr>
            <w:tcW w:w="948" w:type="dxa"/>
          </w:tcPr>
          <w:p>
            <w:pPr>
              <w:pStyle w:val="TableParagraph"/>
              <w:ind w:right="375"/>
              <w:jc w:val="right"/>
              <w:rPr>
                <w:b/>
                <w:sz w:val="18"/>
              </w:rPr>
            </w:pPr>
            <w:r>
              <w:rPr>
                <w:b/>
                <w:spacing w:val="-5"/>
                <w:sz w:val="18"/>
              </w:rPr>
              <w:t>78</w:t>
            </w:r>
          </w:p>
        </w:tc>
        <w:tc>
          <w:tcPr>
            <w:tcW w:w="948" w:type="dxa"/>
            <w:tcBorders>
              <w:right w:val="single" w:sz="6" w:space="0" w:color="000000"/>
            </w:tcBorders>
          </w:tcPr>
          <w:p>
            <w:pPr>
              <w:pStyle w:val="TableParagraph"/>
              <w:ind w:left="205" w:right="198"/>
              <w:rPr>
                <w:sz w:val="18"/>
              </w:rPr>
            </w:pPr>
            <w:r>
              <w:rPr>
                <w:spacing w:val="-2"/>
                <w:sz w:val="18"/>
              </w:rPr>
              <w:t>47.04</w:t>
            </w:r>
          </w:p>
        </w:tc>
        <w:tc>
          <w:tcPr>
            <w:tcW w:w="943" w:type="dxa"/>
            <w:tcBorders>
              <w:left w:val="single" w:sz="6" w:space="0" w:color="000000"/>
            </w:tcBorders>
          </w:tcPr>
          <w:p>
            <w:pPr>
              <w:pStyle w:val="TableParagraph"/>
              <w:ind w:left="263"/>
              <w:jc w:val="left"/>
              <w:rPr>
                <w:sz w:val="18"/>
              </w:rPr>
            </w:pPr>
            <w:r>
              <w:rPr>
                <w:spacing w:val="-2"/>
                <w:sz w:val="18"/>
              </w:rPr>
              <w:t>30.55</w:t>
            </w:r>
          </w:p>
        </w:tc>
      </w:tr>
      <w:tr>
        <w:trPr>
          <w:trHeight w:val="312" w:hRule="atLeast"/>
        </w:trPr>
        <w:tc>
          <w:tcPr>
            <w:tcW w:w="946" w:type="dxa"/>
          </w:tcPr>
          <w:p>
            <w:pPr>
              <w:pStyle w:val="TableParagraph"/>
              <w:spacing w:before="45"/>
              <w:ind w:left="9"/>
              <w:rPr>
                <w:b/>
                <w:sz w:val="18"/>
              </w:rPr>
            </w:pPr>
            <w:r>
              <w:rPr>
                <w:b/>
                <w:sz w:val="18"/>
              </w:rPr>
              <w:t>9</w:t>
            </w:r>
          </w:p>
        </w:tc>
        <w:tc>
          <w:tcPr>
            <w:tcW w:w="946" w:type="dxa"/>
          </w:tcPr>
          <w:p>
            <w:pPr>
              <w:pStyle w:val="TableParagraph"/>
              <w:spacing w:before="45"/>
              <w:ind w:left="276" w:right="266"/>
              <w:rPr>
                <w:sz w:val="18"/>
              </w:rPr>
            </w:pPr>
            <w:r>
              <w:rPr>
                <w:spacing w:val="-4"/>
                <w:sz w:val="18"/>
              </w:rPr>
              <w:t>0.18</w:t>
            </w:r>
          </w:p>
        </w:tc>
        <w:tc>
          <w:tcPr>
            <w:tcW w:w="949" w:type="dxa"/>
          </w:tcPr>
          <w:p>
            <w:pPr>
              <w:pStyle w:val="TableParagraph"/>
              <w:spacing w:before="45"/>
              <w:ind w:left="313"/>
              <w:jc w:val="left"/>
              <w:rPr>
                <w:sz w:val="18"/>
              </w:rPr>
            </w:pPr>
            <w:r>
              <w:rPr>
                <w:spacing w:val="-4"/>
                <w:sz w:val="18"/>
              </w:rPr>
              <w:t>0.10</w:t>
            </w:r>
          </w:p>
        </w:tc>
        <w:tc>
          <w:tcPr>
            <w:tcW w:w="948" w:type="dxa"/>
          </w:tcPr>
          <w:p>
            <w:pPr>
              <w:pStyle w:val="TableParagraph"/>
              <w:spacing w:before="45"/>
              <w:ind w:left="380"/>
              <w:jc w:val="left"/>
              <w:rPr>
                <w:b/>
                <w:sz w:val="18"/>
              </w:rPr>
            </w:pPr>
            <w:r>
              <w:rPr>
                <w:b/>
                <w:spacing w:val="-5"/>
                <w:sz w:val="18"/>
              </w:rPr>
              <w:t>44</w:t>
            </w:r>
          </w:p>
        </w:tc>
        <w:tc>
          <w:tcPr>
            <w:tcW w:w="948" w:type="dxa"/>
          </w:tcPr>
          <w:p>
            <w:pPr>
              <w:pStyle w:val="TableParagraph"/>
              <w:spacing w:before="45"/>
              <w:ind w:left="312"/>
              <w:jc w:val="left"/>
              <w:rPr>
                <w:sz w:val="18"/>
              </w:rPr>
            </w:pPr>
            <w:r>
              <w:rPr>
                <w:spacing w:val="-4"/>
                <w:sz w:val="18"/>
              </w:rPr>
              <w:t>1.68</w:t>
            </w:r>
          </w:p>
        </w:tc>
        <w:tc>
          <w:tcPr>
            <w:tcW w:w="948" w:type="dxa"/>
          </w:tcPr>
          <w:p>
            <w:pPr>
              <w:pStyle w:val="TableParagraph"/>
              <w:spacing w:before="45"/>
              <w:ind w:left="199" w:right="194"/>
              <w:rPr>
                <w:sz w:val="18"/>
              </w:rPr>
            </w:pPr>
            <w:r>
              <w:rPr>
                <w:spacing w:val="-4"/>
                <w:sz w:val="18"/>
              </w:rPr>
              <w:t>0.72</w:t>
            </w:r>
          </w:p>
        </w:tc>
        <w:tc>
          <w:tcPr>
            <w:tcW w:w="948" w:type="dxa"/>
          </w:tcPr>
          <w:p>
            <w:pPr>
              <w:pStyle w:val="TableParagraph"/>
              <w:spacing w:before="45"/>
              <w:ind w:right="373"/>
              <w:jc w:val="right"/>
              <w:rPr>
                <w:b/>
                <w:sz w:val="18"/>
              </w:rPr>
            </w:pPr>
            <w:r>
              <w:rPr>
                <w:b/>
                <w:spacing w:val="-5"/>
                <w:sz w:val="18"/>
              </w:rPr>
              <w:t>79</w:t>
            </w:r>
          </w:p>
        </w:tc>
        <w:tc>
          <w:tcPr>
            <w:tcW w:w="948" w:type="dxa"/>
            <w:tcBorders>
              <w:right w:val="single" w:sz="6" w:space="0" w:color="000000"/>
            </w:tcBorders>
          </w:tcPr>
          <w:p>
            <w:pPr>
              <w:pStyle w:val="TableParagraph"/>
              <w:spacing w:before="45"/>
              <w:ind w:left="203" w:right="198"/>
              <w:rPr>
                <w:sz w:val="18"/>
              </w:rPr>
            </w:pPr>
            <w:r>
              <w:rPr>
                <w:spacing w:val="-2"/>
                <w:sz w:val="18"/>
              </w:rPr>
              <w:t>52.08</w:t>
            </w:r>
          </w:p>
        </w:tc>
        <w:tc>
          <w:tcPr>
            <w:tcW w:w="943" w:type="dxa"/>
            <w:tcBorders>
              <w:left w:val="single" w:sz="6" w:space="0" w:color="000000"/>
            </w:tcBorders>
          </w:tcPr>
          <w:p>
            <w:pPr>
              <w:pStyle w:val="TableParagraph"/>
              <w:spacing w:before="45"/>
              <w:ind w:left="263"/>
              <w:jc w:val="left"/>
              <w:rPr>
                <w:sz w:val="18"/>
              </w:rPr>
            </w:pPr>
            <w:r>
              <w:rPr>
                <w:spacing w:val="-2"/>
                <w:sz w:val="18"/>
              </w:rPr>
              <w:t>34.44</w:t>
            </w:r>
          </w:p>
        </w:tc>
      </w:tr>
      <w:tr>
        <w:trPr>
          <w:trHeight w:val="311" w:hRule="atLeast"/>
        </w:trPr>
        <w:tc>
          <w:tcPr>
            <w:tcW w:w="946" w:type="dxa"/>
          </w:tcPr>
          <w:p>
            <w:pPr>
              <w:pStyle w:val="TableParagraph"/>
              <w:ind w:left="275" w:right="266"/>
              <w:rPr>
                <w:b/>
                <w:sz w:val="18"/>
              </w:rPr>
            </w:pPr>
            <w:r>
              <w:rPr>
                <w:b/>
                <w:spacing w:val="-5"/>
                <w:sz w:val="18"/>
              </w:rPr>
              <w:t>10</w:t>
            </w:r>
          </w:p>
        </w:tc>
        <w:tc>
          <w:tcPr>
            <w:tcW w:w="946" w:type="dxa"/>
          </w:tcPr>
          <w:p>
            <w:pPr>
              <w:pStyle w:val="TableParagraph"/>
              <w:ind w:left="276" w:right="266"/>
              <w:rPr>
                <w:sz w:val="18"/>
              </w:rPr>
            </w:pPr>
            <w:r>
              <w:rPr>
                <w:spacing w:val="-4"/>
                <w:sz w:val="18"/>
              </w:rPr>
              <w:t>0.19</w:t>
            </w:r>
          </w:p>
        </w:tc>
        <w:tc>
          <w:tcPr>
            <w:tcW w:w="949" w:type="dxa"/>
          </w:tcPr>
          <w:p>
            <w:pPr>
              <w:pStyle w:val="TableParagraph"/>
              <w:ind w:left="313"/>
              <w:jc w:val="left"/>
              <w:rPr>
                <w:sz w:val="18"/>
              </w:rPr>
            </w:pPr>
            <w:r>
              <w:rPr>
                <w:spacing w:val="-4"/>
                <w:sz w:val="18"/>
              </w:rPr>
              <w:t>0.10</w:t>
            </w:r>
          </w:p>
        </w:tc>
        <w:tc>
          <w:tcPr>
            <w:tcW w:w="948" w:type="dxa"/>
          </w:tcPr>
          <w:p>
            <w:pPr>
              <w:pStyle w:val="TableParagraph"/>
              <w:ind w:left="380"/>
              <w:jc w:val="left"/>
              <w:rPr>
                <w:b/>
                <w:sz w:val="18"/>
              </w:rPr>
            </w:pPr>
            <w:r>
              <w:rPr>
                <w:b/>
                <w:spacing w:val="-5"/>
                <w:sz w:val="18"/>
              </w:rPr>
              <w:t>45</w:t>
            </w:r>
          </w:p>
        </w:tc>
        <w:tc>
          <w:tcPr>
            <w:tcW w:w="948" w:type="dxa"/>
          </w:tcPr>
          <w:p>
            <w:pPr>
              <w:pStyle w:val="TableParagraph"/>
              <w:ind w:left="312"/>
              <w:jc w:val="left"/>
              <w:rPr>
                <w:sz w:val="18"/>
              </w:rPr>
            </w:pPr>
            <w:r>
              <w:rPr>
                <w:spacing w:val="-4"/>
                <w:sz w:val="18"/>
              </w:rPr>
              <w:t>1.85</w:t>
            </w:r>
          </w:p>
        </w:tc>
        <w:tc>
          <w:tcPr>
            <w:tcW w:w="948" w:type="dxa"/>
          </w:tcPr>
          <w:p>
            <w:pPr>
              <w:pStyle w:val="TableParagraph"/>
              <w:ind w:left="199" w:right="192"/>
              <w:rPr>
                <w:sz w:val="18"/>
              </w:rPr>
            </w:pPr>
            <w:r>
              <w:rPr>
                <w:spacing w:val="-4"/>
                <w:sz w:val="18"/>
              </w:rPr>
              <w:t>0.80</w:t>
            </w:r>
          </w:p>
        </w:tc>
        <w:tc>
          <w:tcPr>
            <w:tcW w:w="948" w:type="dxa"/>
          </w:tcPr>
          <w:p>
            <w:pPr>
              <w:pStyle w:val="TableParagraph"/>
              <w:ind w:right="373"/>
              <w:jc w:val="right"/>
              <w:rPr>
                <w:b/>
                <w:sz w:val="18"/>
              </w:rPr>
            </w:pPr>
            <w:r>
              <w:rPr>
                <w:b/>
                <w:spacing w:val="-5"/>
                <w:sz w:val="18"/>
              </w:rPr>
              <w:t>80</w:t>
            </w:r>
          </w:p>
        </w:tc>
        <w:tc>
          <w:tcPr>
            <w:tcW w:w="948" w:type="dxa"/>
            <w:tcBorders>
              <w:right w:val="single" w:sz="6" w:space="0" w:color="000000"/>
            </w:tcBorders>
          </w:tcPr>
          <w:p>
            <w:pPr>
              <w:pStyle w:val="TableParagraph"/>
              <w:ind w:left="205" w:right="198"/>
              <w:rPr>
                <w:sz w:val="18"/>
              </w:rPr>
            </w:pPr>
            <w:r>
              <w:rPr>
                <w:spacing w:val="-2"/>
                <w:sz w:val="18"/>
              </w:rPr>
              <w:t>57.55</w:t>
            </w:r>
          </w:p>
        </w:tc>
        <w:tc>
          <w:tcPr>
            <w:tcW w:w="943" w:type="dxa"/>
            <w:tcBorders>
              <w:left w:val="single" w:sz="6" w:space="0" w:color="000000"/>
            </w:tcBorders>
          </w:tcPr>
          <w:p>
            <w:pPr>
              <w:pStyle w:val="TableParagraph"/>
              <w:ind w:left="261"/>
              <w:jc w:val="left"/>
              <w:rPr>
                <w:sz w:val="18"/>
              </w:rPr>
            </w:pPr>
            <w:r>
              <w:rPr>
                <w:spacing w:val="-2"/>
                <w:sz w:val="18"/>
              </w:rPr>
              <w:t>38.77</w:t>
            </w:r>
          </w:p>
        </w:tc>
      </w:tr>
      <w:tr>
        <w:trPr>
          <w:trHeight w:val="311" w:hRule="atLeast"/>
        </w:trPr>
        <w:tc>
          <w:tcPr>
            <w:tcW w:w="946" w:type="dxa"/>
          </w:tcPr>
          <w:p>
            <w:pPr>
              <w:pStyle w:val="TableParagraph"/>
              <w:ind w:left="275" w:right="266"/>
              <w:rPr>
                <w:b/>
                <w:sz w:val="18"/>
              </w:rPr>
            </w:pPr>
            <w:r>
              <w:rPr>
                <w:b/>
                <w:spacing w:val="-5"/>
                <w:sz w:val="18"/>
              </w:rPr>
              <w:t>11</w:t>
            </w:r>
          </w:p>
        </w:tc>
        <w:tc>
          <w:tcPr>
            <w:tcW w:w="946" w:type="dxa"/>
          </w:tcPr>
          <w:p>
            <w:pPr>
              <w:pStyle w:val="TableParagraph"/>
              <w:ind w:left="276" w:right="266"/>
              <w:rPr>
                <w:sz w:val="18"/>
              </w:rPr>
            </w:pPr>
            <w:r>
              <w:rPr>
                <w:spacing w:val="-4"/>
                <w:sz w:val="18"/>
              </w:rPr>
              <w:t>0.21</w:t>
            </w:r>
          </w:p>
        </w:tc>
        <w:tc>
          <w:tcPr>
            <w:tcW w:w="949" w:type="dxa"/>
          </w:tcPr>
          <w:p>
            <w:pPr>
              <w:pStyle w:val="TableParagraph"/>
              <w:ind w:left="313"/>
              <w:jc w:val="left"/>
              <w:rPr>
                <w:sz w:val="18"/>
              </w:rPr>
            </w:pPr>
            <w:r>
              <w:rPr>
                <w:spacing w:val="-4"/>
                <w:sz w:val="18"/>
              </w:rPr>
              <w:t>0.11</w:t>
            </w:r>
          </w:p>
        </w:tc>
        <w:tc>
          <w:tcPr>
            <w:tcW w:w="948" w:type="dxa"/>
          </w:tcPr>
          <w:p>
            <w:pPr>
              <w:pStyle w:val="TableParagraph"/>
              <w:ind w:left="380"/>
              <w:jc w:val="left"/>
              <w:rPr>
                <w:b/>
                <w:sz w:val="18"/>
              </w:rPr>
            </w:pPr>
            <w:r>
              <w:rPr>
                <w:b/>
                <w:spacing w:val="-5"/>
                <w:sz w:val="18"/>
              </w:rPr>
              <w:t>46</w:t>
            </w:r>
          </w:p>
        </w:tc>
        <w:tc>
          <w:tcPr>
            <w:tcW w:w="948" w:type="dxa"/>
          </w:tcPr>
          <w:p>
            <w:pPr>
              <w:pStyle w:val="TableParagraph"/>
              <w:ind w:left="312"/>
              <w:jc w:val="left"/>
              <w:rPr>
                <w:sz w:val="18"/>
              </w:rPr>
            </w:pPr>
            <w:r>
              <w:rPr>
                <w:spacing w:val="-4"/>
                <w:sz w:val="18"/>
              </w:rPr>
              <w:t>2.04</w:t>
            </w:r>
          </w:p>
        </w:tc>
        <w:tc>
          <w:tcPr>
            <w:tcW w:w="948" w:type="dxa"/>
          </w:tcPr>
          <w:p>
            <w:pPr>
              <w:pStyle w:val="TableParagraph"/>
              <w:ind w:left="199" w:right="192"/>
              <w:rPr>
                <w:sz w:val="18"/>
              </w:rPr>
            </w:pPr>
            <w:r>
              <w:rPr>
                <w:spacing w:val="-4"/>
                <w:sz w:val="18"/>
              </w:rPr>
              <w:t>0.88</w:t>
            </w:r>
          </w:p>
        </w:tc>
        <w:tc>
          <w:tcPr>
            <w:tcW w:w="948" w:type="dxa"/>
          </w:tcPr>
          <w:p>
            <w:pPr>
              <w:pStyle w:val="TableParagraph"/>
              <w:ind w:right="373"/>
              <w:jc w:val="right"/>
              <w:rPr>
                <w:b/>
                <w:sz w:val="18"/>
              </w:rPr>
            </w:pPr>
            <w:r>
              <w:rPr>
                <w:b/>
                <w:spacing w:val="-5"/>
                <w:sz w:val="18"/>
              </w:rPr>
              <w:t>81</w:t>
            </w:r>
          </w:p>
        </w:tc>
        <w:tc>
          <w:tcPr>
            <w:tcW w:w="948" w:type="dxa"/>
            <w:tcBorders>
              <w:right w:val="single" w:sz="6" w:space="0" w:color="000000"/>
            </w:tcBorders>
          </w:tcPr>
          <w:p>
            <w:pPr>
              <w:pStyle w:val="TableParagraph"/>
              <w:ind w:left="205" w:right="198"/>
              <w:rPr>
                <w:sz w:val="18"/>
              </w:rPr>
            </w:pPr>
            <w:r>
              <w:rPr>
                <w:spacing w:val="-2"/>
                <w:sz w:val="18"/>
              </w:rPr>
              <w:t>63.49</w:t>
            </w:r>
          </w:p>
        </w:tc>
        <w:tc>
          <w:tcPr>
            <w:tcW w:w="943" w:type="dxa"/>
            <w:tcBorders>
              <w:left w:val="single" w:sz="6" w:space="0" w:color="000000"/>
            </w:tcBorders>
          </w:tcPr>
          <w:p>
            <w:pPr>
              <w:pStyle w:val="TableParagraph"/>
              <w:ind w:left="263"/>
              <w:jc w:val="left"/>
              <w:rPr>
                <w:sz w:val="18"/>
              </w:rPr>
            </w:pPr>
            <w:r>
              <w:rPr>
                <w:spacing w:val="-2"/>
                <w:sz w:val="18"/>
              </w:rPr>
              <w:t>43.58</w:t>
            </w:r>
          </w:p>
        </w:tc>
      </w:tr>
      <w:tr>
        <w:trPr>
          <w:trHeight w:val="314" w:hRule="atLeast"/>
        </w:trPr>
        <w:tc>
          <w:tcPr>
            <w:tcW w:w="946" w:type="dxa"/>
          </w:tcPr>
          <w:p>
            <w:pPr>
              <w:pStyle w:val="TableParagraph"/>
              <w:spacing w:before="47"/>
              <w:ind w:left="275" w:right="266"/>
              <w:rPr>
                <w:b/>
                <w:sz w:val="18"/>
              </w:rPr>
            </w:pPr>
            <w:r>
              <w:rPr>
                <w:b/>
                <w:spacing w:val="-5"/>
                <w:sz w:val="18"/>
              </w:rPr>
              <w:t>12</w:t>
            </w:r>
          </w:p>
        </w:tc>
        <w:tc>
          <w:tcPr>
            <w:tcW w:w="946" w:type="dxa"/>
          </w:tcPr>
          <w:p>
            <w:pPr>
              <w:pStyle w:val="TableParagraph"/>
              <w:spacing w:before="47"/>
              <w:ind w:left="276" w:right="266"/>
              <w:rPr>
                <w:sz w:val="18"/>
              </w:rPr>
            </w:pPr>
            <w:r>
              <w:rPr>
                <w:spacing w:val="-4"/>
                <w:sz w:val="18"/>
              </w:rPr>
              <w:t>0.22</w:t>
            </w:r>
          </w:p>
        </w:tc>
        <w:tc>
          <w:tcPr>
            <w:tcW w:w="949" w:type="dxa"/>
          </w:tcPr>
          <w:p>
            <w:pPr>
              <w:pStyle w:val="TableParagraph"/>
              <w:spacing w:before="47"/>
              <w:ind w:left="313"/>
              <w:jc w:val="left"/>
              <w:rPr>
                <w:sz w:val="18"/>
              </w:rPr>
            </w:pPr>
            <w:r>
              <w:rPr>
                <w:spacing w:val="-4"/>
                <w:sz w:val="18"/>
              </w:rPr>
              <w:t>0.12</w:t>
            </w:r>
          </w:p>
        </w:tc>
        <w:tc>
          <w:tcPr>
            <w:tcW w:w="948" w:type="dxa"/>
          </w:tcPr>
          <w:p>
            <w:pPr>
              <w:pStyle w:val="TableParagraph"/>
              <w:spacing w:before="47"/>
              <w:ind w:left="382"/>
              <w:jc w:val="left"/>
              <w:rPr>
                <w:b/>
                <w:sz w:val="18"/>
              </w:rPr>
            </w:pPr>
            <w:r>
              <w:rPr>
                <w:b/>
                <w:spacing w:val="-5"/>
                <w:sz w:val="18"/>
              </w:rPr>
              <w:t>47</w:t>
            </w:r>
          </w:p>
        </w:tc>
        <w:tc>
          <w:tcPr>
            <w:tcW w:w="948" w:type="dxa"/>
          </w:tcPr>
          <w:p>
            <w:pPr>
              <w:pStyle w:val="TableParagraph"/>
              <w:spacing w:before="47"/>
              <w:ind w:left="312"/>
              <w:jc w:val="left"/>
              <w:rPr>
                <w:sz w:val="18"/>
              </w:rPr>
            </w:pPr>
            <w:r>
              <w:rPr>
                <w:spacing w:val="-4"/>
                <w:sz w:val="18"/>
              </w:rPr>
              <w:t>2.25</w:t>
            </w:r>
          </w:p>
        </w:tc>
        <w:tc>
          <w:tcPr>
            <w:tcW w:w="948" w:type="dxa"/>
          </w:tcPr>
          <w:p>
            <w:pPr>
              <w:pStyle w:val="TableParagraph"/>
              <w:spacing w:before="47"/>
              <w:ind w:left="199" w:right="194"/>
              <w:rPr>
                <w:sz w:val="18"/>
              </w:rPr>
            </w:pPr>
            <w:r>
              <w:rPr>
                <w:spacing w:val="-4"/>
                <w:sz w:val="18"/>
              </w:rPr>
              <w:t>0.97</w:t>
            </w:r>
          </w:p>
        </w:tc>
        <w:tc>
          <w:tcPr>
            <w:tcW w:w="948" w:type="dxa"/>
          </w:tcPr>
          <w:p>
            <w:pPr>
              <w:pStyle w:val="TableParagraph"/>
              <w:spacing w:before="47"/>
              <w:ind w:right="373"/>
              <w:jc w:val="right"/>
              <w:rPr>
                <w:b/>
                <w:sz w:val="18"/>
              </w:rPr>
            </w:pPr>
            <w:r>
              <w:rPr>
                <w:b/>
                <w:spacing w:val="-5"/>
                <w:sz w:val="18"/>
              </w:rPr>
              <w:t>82</w:t>
            </w:r>
          </w:p>
        </w:tc>
        <w:tc>
          <w:tcPr>
            <w:tcW w:w="948" w:type="dxa"/>
            <w:tcBorders>
              <w:right w:val="single" w:sz="6" w:space="0" w:color="000000"/>
            </w:tcBorders>
          </w:tcPr>
          <w:p>
            <w:pPr>
              <w:pStyle w:val="TableParagraph"/>
              <w:spacing w:before="47"/>
              <w:ind w:left="205" w:right="198"/>
              <w:rPr>
                <w:sz w:val="18"/>
              </w:rPr>
            </w:pPr>
            <w:r>
              <w:rPr>
                <w:spacing w:val="-2"/>
                <w:sz w:val="18"/>
              </w:rPr>
              <w:t>69.91</w:t>
            </w:r>
          </w:p>
        </w:tc>
        <w:tc>
          <w:tcPr>
            <w:tcW w:w="943" w:type="dxa"/>
            <w:tcBorders>
              <w:left w:val="single" w:sz="6" w:space="0" w:color="000000"/>
            </w:tcBorders>
          </w:tcPr>
          <w:p>
            <w:pPr>
              <w:pStyle w:val="TableParagraph"/>
              <w:spacing w:before="47"/>
              <w:ind w:left="263"/>
              <w:jc w:val="left"/>
              <w:rPr>
                <w:sz w:val="18"/>
              </w:rPr>
            </w:pPr>
            <w:r>
              <w:rPr>
                <w:spacing w:val="-2"/>
                <w:sz w:val="18"/>
              </w:rPr>
              <w:t>48.92</w:t>
            </w:r>
          </w:p>
        </w:tc>
      </w:tr>
      <w:tr>
        <w:trPr>
          <w:trHeight w:val="311" w:hRule="atLeast"/>
        </w:trPr>
        <w:tc>
          <w:tcPr>
            <w:tcW w:w="946" w:type="dxa"/>
          </w:tcPr>
          <w:p>
            <w:pPr>
              <w:pStyle w:val="TableParagraph"/>
              <w:ind w:left="275" w:right="266"/>
              <w:rPr>
                <w:b/>
                <w:sz w:val="18"/>
              </w:rPr>
            </w:pPr>
            <w:r>
              <w:rPr>
                <w:b/>
                <w:spacing w:val="-5"/>
                <w:sz w:val="18"/>
              </w:rPr>
              <w:t>13</w:t>
            </w:r>
          </w:p>
        </w:tc>
        <w:tc>
          <w:tcPr>
            <w:tcW w:w="946" w:type="dxa"/>
          </w:tcPr>
          <w:p>
            <w:pPr>
              <w:pStyle w:val="TableParagraph"/>
              <w:ind w:left="276" w:right="266"/>
              <w:rPr>
                <w:sz w:val="18"/>
              </w:rPr>
            </w:pPr>
            <w:r>
              <w:rPr>
                <w:spacing w:val="-4"/>
                <w:sz w:val="18"/>
              </w:rPr>
              <w:t>0.24</w:t>
            </w:r>
          </w:p>
        </w:tc>
        <w:tc>
          <w:tcPr>
            <w:tcW w:w="949" w:type="dxa"/>
          </w:tcPr>
          <w:p>
            <w:pPr>
              <w:pStyle w:val="TableParagraph"/>
              <w:ind w:left="313"/>
              <w:jc w:val="left"/>
              <w:rPr>
                <w:sz w:val="18"/>
              </w:rPr>
            </w:pPr>
            <w:r>
              <w:rPr>
                <w:spacing w:val="-4"/>
                <w:sz w:val="18"/>
              </w:rPr>
              <w:t>0.13</w:t>
            </w:r>
          </w:p>
        </w:tc>
        <w:tc>
          <w:tcPr>
            <w:tcW w:w="948" w:type="dxa"/>
          </w:tcPr>
          <w:p>
            <w:pPr>
              <w:pStyle w:val="TableParagraph"/>
              <w:ind w:left="380"/>
              <w:jc w:val="left"/>
              <w:rPr>
                <w:b/>
                <w:sz w:val="18"/>
              </w:rPr>
            </w:pPr>
            <w:r>
              <w:rPr>
                <w:b/>
                <w:spacing w:val="-5"/>
                <w:sz w:val="18"/>
              </w:rPr>
              <w:t>48</w:t>
            </w:r>
          </w:p>
        </w:tc>
        <w:tc>
          <w:tcPr>
            <w:tcW w:w="948" w:type="dxa"/>
          </w:tcPr>
          <w:p>
            <w:pPr>
              <w:pStyle w:val="TableParagraph"/>
              <w:ind w:left="312"/>
              <w:jc w:val="left"/>
              <w:rPr>
                <w:sz w:val="18"/>
              </w:rPr>
            </w:pPr>
            <w:r>
              <w:rPr>
                <w:spacing w:val="-4"/>
                <w:sz w:val="18"/>
              </w:rPr>
              <w:t>2.48</w:t>
            </w:r>
          </w:p>
        </w:tc>
        <w:tc>
          <w:tcPr>
            <w:tcW w:w="948" w:type="dxa"/>
          </w:tcPr>
          <w:p>
            <w:pPr>
              <w:pStyle w:val="TableParagraph"/>
              <w:ind w:left="199" w:right="192"/>
              <w:rPr>
                <w:sz w:val="18"/>
              </w:rPr>
            </w:pPr>
            <w:r>
              <w:rPr>
                <w:spacing w:val="-4"/>
                <w:sz w:val="18"/>
              </w:rPr>
              <w:t>1.08</w:t>
            </w:r>
          </w:p>
        </w:tc>
        <w:tc>
          <w:tcPr>
            <w:tcW w:w="948" w:type="dxa"/>
          </w:tcPr>
          <w:p>
            <w:pPr>
              <w:pStyle w:val="TableParagraph"/>
              <w:ind w:right="373"/>
              <w:jc w:val="right"/>
              <w:rPr>
                <w:b/>
                <w:sz w:val="18"/>
              </w:rPr>
            </w:pPr>
            <w:r>
              <w:rPr>
                <w:b/>
                <w:spacing w:val="-5"/>
                <w:sz w:val="18"/>
              </w:rPr>
              <w:t>83</w:t>
            </w:r>
          </w:p>
        </w:tc>
        <w:tc>
          <w:tcPr>
            <w:tcW w:w="948" w:type="dxa"/>
            <w:tcBorders>
              <w:right w:val="single" w:sz="6" w:space="0" w:color="000000"/>
            </w:tcBorders>
          </w:tcPr>
          <w:p>
            <w:pPr>
              <w:pStyle w:val="TableParagraph"/>
              <w:ind w:left="203" w:right="198"/>
              <w:rPr>
                <w:sz w:val="18"/>
              </w:rPr>
            </w:pPr>
            <w:r>
              <w:rPr>
                <w:spacing w:val="-2"/>
                <w:sz w:val="18"/>
              </w:rPr>
              <w:t>76.83</w:t>
            </w:r>
          </w:p>
        </w:tc>
        <w:tc>
          <w:tcPr>
            <w:tcW w:w="943" w:type="dxa"/>
            <w:tcBorders>
              <w:left w:val="single" w:sz="6" w:space="0" w:color="000000"/>
            </w:tcBorders>
          </w:tcPr>
          <w:p>
            <w:pPr>
              <w:pStyle w:val="TableParagraph"/>
              <w:ind w:left="263"/>
              <w:jc w:val="left"/>
              <w:rPr>
                <w:sz w:val="18"/>
              </w:rPr>
            </w:pPr>
            <w:r>
              <w:rPr>
                <w:spacing w:val="-2"/>
                <w:sz w:val="18"/>
              </w:rPr>
              <w:t>54.82</w:t>
            </w:r>
          </w:p>
        </w:tc>
      </w:tr>
      <w:tr>
        <w:trPr>
          <w:trHeight w:val="311" w:hRule="atLeast"/>
        </w:trPr>
        <w:tc>
          <w:tcPr>
            <w:tcW w:w="946" w:type="dxa"/>
          </w:tcPr>
          <w:p>
            <w:pPr>
              <w:pStyle w:val="TableParagraph"/>
              <w:ind w:left="275" w:right="266"/>
              <w:rPr>
                <w:b/>
                <w:sz w:val="18"/>
              </w:rPr>
            </w:pPr>
            <w:r>
              <w:rPr>
                <w:b/>
                <w:spacing w:val="-5"/>
                <w:sz w:val="18"/>
              </w:rPr>
              <w:t>14</w:t>
            </w:r>
          </w:p>
        </w:tc>
        <w:tc>
          <w:tcPr>
            <w:tcW w:w="946" w:type="dxa"/>
          </w:tcPr>
          <w:p>
            <w:pPr>
              <w:pStyle w:val="TableParagraph"/>
              <w:ind w:left="276" w:right="266"/>
              <w:rPr>
                <w:sz w:val="18"/>
              </w:rPr>
            </w:pPr>
            <w:r>
              <w:rPr>
                <w:spacing w:val="-4"/>
                <w:sz w:val="18"/>
              </w:rPr>
              <w:t>0.26</w:t>
            </w:r>
          </w:p>
        </w:tc>
        <w:tc>
          <w:tcPr>
            <w:tcW w:w="949" w:type="dxa"/>
          </w:tcPr>
          <w:p>
            <w:pPr>
              <w:pStyle w:val="TableParagraph"/>
              <w:ind w:left="313"/>
              <w:jc w:val="left"/>
              <w:rPr>
                <w:sz w:val="18"/>
              </w:rPr>
            </w:pPr>
            <w:r>
              <w:rPr>
                <w:spacing w:val="-4"/>
                <w:sz w:val="18"/>
              </w:rPr>
              <w:t>0.14</w:t>
            </w:r>
          </w:p>
        </w:tc>
        <w:tc>
          <w:tcPr>
            <w:tcW w:w="948" w:type="dxa"/>
          </w:tcPr>
          <w:p>
            <w:pPr>
              <w:pStyle w:val="TableParagraph"/>
              <w:ind w:left="380"/>
              <w:jc w:val="left"/>
              <w:rPr>
                <w:b/>
                <w:sz w:val="18"/>
              </w:rPr>
            </w:pPr>
            <w:r>
              <w:rPr>
                <w:b/>
                <w:spacing w:val="-5"/>
                <w:sz w:val="18"/>
              </w:rPr>
              <w:t>49</w:t>
            </w:r>
          </w:p>
        </w:tc>
        <w:tc>
          <w:tcPr>
            <w:tcW w:w="948" w:type="dxa"/>
          </w:tcPr>
          <w:p>
            <w:pPr>
              <w:pStyle w:val="TableParagraph"/>
              <w:ind w:left="312"/>
              <w:jc w:val="left"/>
              <w:rPr>
                <w:sz w:val="18"/>
              </w:rPr>
            </w:pPr>
            <w:r>
              <w:rPr>
                <w:spacing w:val="-4"/>
                <w:sz w:val="18"/>
              </w:rPr>
              <w:t>2.72</w:t>
            </w:r>
          </w:p>
        </w:tc>
        <w:tc>
          <w:tcPr>
            <w:tcW w:w="948" w:type="dxa"/>
          </w:tcPr>
          <w:p>
            <w:pPr>
              <w:pStyle w:val="TableParagraph"/>
              <w:ind w:left="199" w:right="192"/>
              <w:rPr>
                <w:sz w:val="18"/>
              </w:rPr>
            </w:pPr>
            <w:r>
              <w:rPr>
                <w:spacing w:val="-4"/>
                <w:sz w:val="18"/>
              </w:rPr>
              <w:t>1.18</w:t>
            </w:r>
          </w:p>
        </w:tc>
        <w:tc>
          <w:tcPr>
            <w:tcW w:w="948" w:type="dxa"/>
          </w:tcPr>
          <w:p>
            <w:pPr>
              <w:pStyle w:val="TableParagraph"/>
              <w:ind w:right="373"/>
              <w:jc w:val="right"/>
              <w:rPr>
                <w:b/>
                <w:sz w:val="18"/>
              </w:rPr>
            </w:pPr>
            <w:r>
              <w:rPr>
                <w:b/>
                <w:spacing w:val="-5"/>
                <w:sz w:val="18"/>
              </w:rPr>
              <w:t>84</w:t>
            </w:r>
          </w:p>
        </w:tc>
        <w:tc>
          <w:tcPr>
            <w:tcW w:w="948" w:type="dxa"/>
            <w:tcBorders>
              <w:right w:val="single" w:sz="6" w:space="0" w:color="000000"/>
            </w:tcBorders>
          </w:tcPr>
          <w:p>
            <w:pPr>
              <w:pStyle w:val="TableParagraph"/>
              <w:ind w:left="205" w:right="197"/>
              <w:rPr>
                <w:sz w:val="18"/>
              </w:rPr>
            </w:pPr>
            <w:r>
              <w:rPr>
                <w:spacing w:val="-2"/>
                <w:sz w:val="18"/>
              </w:rPr>
              <w:t>84.27</w:t>
            </w:r>
          </w:p>
        </w:tc>
        <w:tc>
          <w:tcPr>
            <w:tcW w:w="943" w:type="dxa"/>
            <w:tcBorders>
              <w:left w:val="single" w:sz="6" w:space="0" w:color="000000"/>
            </w:tcBorders>
          </w:tcPr>
          <w:p>
            <w:pPr>
              <w:pStyle w:val="TableParagraph"/>
              <w:ind w:left="263"/>
              <w:jc w:val="left"/>
              <w:rPr>
                <w:sz w:val="18"/>
              </w:rPr>
            </w:pPr>
            <w:r>
              <w:rPr>
                <w:spacing w:val="-2"/>
                <w:sz w:val="18"/>
              </w:rPr>
              <w:t>61.33</w:t>
            </w:r>
          </w:p>
        </w:tc>
      </w:tr>
      <w:tr>
        <w:trPr>
          <w:trHeight w:val="311" w:hRule="atLeast"/>
        </w:trPr>
        <w:tc>
          <w:tcPr>
            <w:tcW w:w="946" w:type="dxa"/>
          </w:tcPr>
          <w:p>
            <w:pPr>
              <w:pStyle w:val="TableParagraph"/>
              <w:ind w:left="275" w:right="266"/>
              <w:rPr>
                <w:b/>
                <w:sz w:val="18"/>
              </w:rPr>
            </w:pPr>
            <w:r>
              <w:rPr>
                <w:b/>
                <w:spacing w:val="-5"/>
                <w:sz w:val="18"/>
              </w:rPr>
              <w:t>15</w:t>
            </w:r>
          </w:p>
        </w:tc>
        <w:tc>
          <w:tcPr>
            <w:tcW w:w="946" w:type="dxa"/>
          </w:tcPr>
          <w:p>
            <w:pPr>
              <w:pStyle w:val="TableParagraph"/>
              <w:ind w:left="276" w:right="266"/>
              <w:rPr>
                <w:sz w:val="18"/>
              </w:rPr>
            </w:pPr>
            <w:r>
              <w:rPr>
                <w:spacing w:val="-4"/>
                <w:sz w:val="18"/>
              </w:rPr>
              <w:t>0.28</w:t>
            </w:r>
          </w:p>
        </w:tc>
        <w:tc>
          <w:tcPr>
            <w:tcW w:w="949" w:type="dxa"/>
          </w:tcPr>
          <w:p>
            <w:pPr>
              <w:pStyle w:val="TableParagraph"/>
              <w:ind w:left="313"/>
              <w:jc w:val="left"/>
              <w:rPr>
                <w:sz w:val="18"/>
              </w:rPr>
            </w:pPr>
            <w:r>
              <w:rPr>
                <w:spacing w:val="-4"/>
                <w:sz w:val="18"/>
              </w:rPr>
              <w:t>0.15</w:t>
            </w:r>
          </w:p>
        </w:tc>
        <w:tc>
          <w:tcPr>
            <w:tcW w:w="948" w:type="dxa"/>
          </w:tcPr>
          <w:p>
            <w:pPr>
              <w:pStyle w:val="TableParagraph"/>
              <w:ind w:left="380"/>
              <w:jc w:val="left"/>
              <w:rPr>
                <w:b/>
                <w:sz w:val="18"/>
              </w:rPr>
            </w:pPr>
            <w:r>
              <w:rPr>
                <w:b/>
                <w:spacing w:val="-5"/>
                <w:sz w:val="18"/>
              </w:rPr>
              <w:t>50</w:t>
            </w:r>
          </w:p>
        </w:tc>
        <w:tc>
          <w:tcPr>
            <w:tcW w:w="948" w:type="dxa"/>
          </w:tcPr>
          <w:p>
            <w:pPr>
              <w:pStyle w:val="TableParagraph"/>
              <w:ind w:left="312"/>
              <w:jc w:val="left"/>
              <w:rPr>
                <w:sz w:val="18"/>
              </w:rPr>
            </w:pPr>
            <w:r>
              <w:rPr>
                <w:spacing w:val="-4"/>
                <w:sz w:val="18"/>
              </w:rPr>
              <w:t>2.97</w:t>
            </w:r>
          </w:p>
        </w:tc>
        <w:tc>
          <w:tcPr>
            <w:tcW w:w="948" w:type="dxa"/>
          </w:tcPr>
          <w:p>
            <w:pPr>
              <w:pStyle w:val="TableParagraph"/>
              <w:ind w:left="199" w:right="192"/>
              <w:rPr>
                <w:sz w:val="18"/>
              </w:rPr>
            </w:pPr>
            <w:r>
              <w:rPr>
                <w:spacing w:val="-4"/>
                <w:sz w:val="18"/>
              </w:rPr>
              <w:t>1.30</w:t>
            </w:r>
          </w:p>
        </w:tc>
        <w:tc>
          <w:tcPr>
            <w:tcW w:w="948" w:type="dxa"/>
          </w:tcPr>
          <w:p>
            <w:pPr>
              <w:pStyle w:val="TableParagraph"/>
              <w:ind w:right="373"/>
              <w:jc w:val="right"/>
              <w:rPr>
                <w:b/>
                <w:sz w:val="18"/>
              </w:rPr>
            </w:pPr>
            <w:r>
              <w:rPr>
                <w:b/>
                <w:spacing w:val="-5"/>
                <w:sz w:val="18"/>
              </w:rPr>
              <w:t>85</w:t>
            </w:r>
          </w:p>
        </w:tc>
        <w:tc>
          <w:tcPr>
            <w:tcW w:w="948" w:type="dxa"/>
            <w:tcBorders>
              <w:right w:val="single" w:sz="6" w:space="0" w:color="000000"/>
            </w:tcBorders>
          </w:tcPr>
          <w:p>
            <w:pPr>
              <w:pStyle w:val="TableParagraph"/>
              <w:ind w:left="203" w:right="198"/>
              <w:rPr>
                <w:sz w:val="18"/>
              </w:rPr>
            </w:pPr>
            <w:r>
              <w:rPr>
                <w:spacing w:val="-2"/>
                <w:sz w:val="18"/>
              </w:rPr>
              <w:t>92.27</w:t>
            </w:r>
          </w:p>
        </w:tc>
        <w:tc>
          <w:tcPr>
            <w:tcW w:w="943" w:type="dxa"/>
            <w:tcBorders>
              <w:left w:val="single" w:sz="6" w:space="0" w:color="000000"/>
            </w:tcBorders>
          </w:tcPr>
          <w:p>
            <w:pPr>
              <w:pStyle w:val="TableParagraph"/>
              <w:ind w:left="263"/>
              <w:jc w:val="left"/>
              <w:rPr>
                <w:sz w:val="18"/>
              </w:rPr>
            </w:pPr>
            <w:r>
              <w:rPr>
                <w:spacing w:val="-2"/>
                <w:sz w:val="18"/>
              </w:rPr>
              <w:t>68.43</w:t>
            </w:r>
          </w:p>
        </w:tc>
      </w:tr>
      <w:tr>
        <w:trPr>
          <w:trHeight w:val="311" w:hRule="atLeast"/>
        </w:trPr>
        <w:tc>
          <w:tcPr>
            <w:tcW w:w="946" w:type="dxa"/>
          </w:tcPr>
          <w:p>
            <w:pPr>
              <w:pStyle w:val="TableParagraph"/>
              <w:ind w:left="275" w:right="266"/>
              <w:rPr>
                <w:b/>
                <w:sz w:val="18"/>
              </w:rPr>
            </w:pPr>
            <w:r>
              <w:rPr>
                <w:b/>
                <w:spacing w:val="-5"/>
                <w:sz w:val="18"/>
              </w:rPr>
              <w:t>16</w:t>
            </w:r>
          </w:p>
        </w:tc>
        <w:tc>
          <w:tcPr>
            <w:tcW w:w="946" w:type="dxa"/>
          </w:tcPr>
          <w:p>
            <w:pPr>
              <w:pStyle w:val="TableParagraph"/>
              <w:ind w:left="276" w:right="266"/>
              <w:rPr>
                <w:sz w:val="18"/>
              </w:rPr>
            </w:pPr>
            <w:r>
              <w:rPr>
                <w:spacing w:val="-4"/>
                <w:sz w:val="18"/>
              </w:rPr>
              <w:t>0.30</w:t>
            </w:r>
          </w:p>
        </w:tc>
        <w:tc>
          <w:tcPr>
            <w:tcW w:w="949" w:type="dxa"/>
          </w:tcPr>
          <w:p>
            <w:pPr>
              <w:pStyle w:val="TableParagraph"/>
              <w:ind w:left="313"/>
              <w:jc w:val="left"/>
              <w:rPr>
                <w:sz w:val="18"/>
              </w:rPr>
            </w:pPr>
            <w:r>
              <w:rPr>
                <w:spacing w:val="-4"/>
                <w:sz w:val="18"/>
              </w:rPr>
              <w:t>0.16</w:t>
            </w:r>
          </w:p>
        </w:tc>
        <w:tc>
          <w:tcPr>
            <w:tcW w:w="948" w:type="dxa"/>
          </w:tcPr>
          <w:p>
            <w:pPr>
              <w:pStyle w:val="TableParagraph"/>
              <w:ind w:left="382"/>
              <w:jc w:val="left"/>
              <w:rPr>
                <w:b/>
                <w:sz w:val="18"/>
              </w:rPr>
            </w:pPr>
            <w:r>
              <w:rPr>
                <w:b/>
                <w:spacing w:val="-5"/>
                <w:sz w:val="18"/>
              </w:rPr>
              <w:t>51</w:t>
            </w:r>
          </w:p>
        </w:tc>
        <w:tc>
          <w:tcPr>
            <w:tcW w:w="948" w:type="dxa"/>
          </w:tcPr>
          <w:p>
            <w:pPr>
              <w:pStyle w:val="TableParagraph"/>
              <w:ind w:left="312"/>
              <w:jc w:val="left"/>
              <w:rPr>
                <w:sz w:val="18"/>
              </w:rPr>
            </w:pPr>
            <w:r>
              <w:rPr>
                <w:spacing w:val="-4"/>
                <w:sz w:val="18"/>
              </w:rPr>
              <w:t>3.24</w:t>
            </w:r>
          </w:p>
        </w:tc>
        <w:tc>
          <w:tcPr>
            <w:tcW w:w="948" w:type="dxa"/>
          </w:tcPr>
          <w:p>
            <w:pPr>
              <w:pStyle w:val="TableParagraph"/>
              <w:ind w:left="199" w:right="192"/>
              <w:rPr>
                <w:sz w:val="18"/>
              </w:rPr>
            </w:pPr>
            <w:r>
              <w:rPr>
                <w:spacing w:val="-4"/>
                <w:sz w:val="18"/>
              </w:rPr>
              <w:t>1.43</w:t>
            </w:r>
          </w:p>
        </w:tc>
        <w:tc>
          <w:tcPr>
            <w:tcW w:w="948" w:type="dxa"/>
          </w:tcPr>
          <w:p>
            <w:pPr>
              <w:pStyle w:val="TableParagraph"/>
              <w:ind w:right="373"/>
              <w:jc w:val="right"/>
              <w:rPr>
                <w:b/>
                <w:sz w:val="18"/>
              </w:rPr>
            </w:pPr>
            <w:r>
              <w:rPr>
                <w:b/>
                <w:spacing w:val="-5"/>
                <w:sz w:val="18"/>
              </w:rPr>
              <w:t>86</w:t>
            </w:r>
          </w:p>
        </w:tc>
        <w:tc>
          <w:tcPr>
            <w:tcW w:w="948" w:type="dxa"/>
            <w:tcBorders>
              <w:right w:val="single" w:sz="6" w:space="0" w:color="000000"/>
            </w:tcBorders>
          </w:tcPr>
          <w:p>
            <w:pPr>
              <w:pStyle w:val="TableParagraph"/>
              <w:ind w:left="203" w:right="198"/>
              <w:rPr>
                <w:sz w:val="18"/>
              </w:rPr>
            </w:pPr>
            <w:r>
              <w:rPr>
                <w:spacing w:val="-2"/>
                <w:sz w:val="18"/>
              </w:rPr>
              <w:t>100.87</w:t>
            </w:r>
          </w:p>
        </w:tc>
        <w:tc>
          <w:tcPr>
            <w:tcW w:w="943" w:type="dxa"/>
            <w:tcBorders>
              <w:left w:val="single" w:sz="6" w:space="0" w:color="000000"/>
            </w:tcBorders>
          </w:tcPr>
          <w:p>
            <w:pPr>
              <w:pStyle w:val="TableParagraph"/>
              <w:ind w:left="263"/>
              <w:jc w:val="left"/>
              <w:rPr>
                <w:sz w:val="18"/>
              </w:rPr>
            </w:pPr>
            <w:r>
              <w:rPr>
                <w:spacing w:val="-2"/>
                <w:sz w:val="18"/>
              </w:rPr>
              <w:t>76.09</w:t>
            </w:r>
          </w:p>
        </w:tc>
      </w:tr>
      <w:tr>
        <w:trPr>
          <w:trHeight w:val="311" w:hRule="atLeast"/>
        </w:trPr>
        <w:tc>
          <w:tcPr>
            <w:tcW w:w="946" w:type="dxa"/>
          </w:tcPr>
          <w:p>
            <w:pPr>
              <w:pStyle w:val="TableParagraph"/>
              <w:ind w:left="275" w:right="266"/>
              <w:rPr>
                <w:b/>
                <w:sz w:val="18"/>
              </w:rPr>
            </w:pPr>
            <w:r>
              <w:rPr>
                <w:b/>
                <w:spacing w:val="-5"/>
                <w:sz w:val="18"/>
              </w:rPr>
              <w:t>17</w:t>
            </w:r>
          </w:p>
        </w:tc>
        <w:tc>
          <w:tcPr>
            <w:tcW w:w="946" w:type="dxa"/>
          </w:tcPr>
          <w:p>
            <w:pPr>
              <w:pStyle w:val="TableParagraph"/>
              <w:ind w:left="276" w:right="266"/>
              <w:rPr>
                <w:sz w:val="18"/>
              </w:rPr>
            </w:pPr>
            <w:r>
              <w:rPr>
                <w:spacing w:val="-4"/>
                <w:sz w:val="18"/>
              </w:rPr>
              <w:t>0.31</w:t>
            </w:r>
          </w:p>
        </w:tc>
        <w:tc>
          <w:tcPr>
            <w:tcW w:w="949" w:type="dxa"/>
          </w:tcPr>
          <w:p>
            <w:pPr>
              <w:pStyle w:val="TableParagraph"/>
              <w:ind w:left="313"/>
              <w:jc w:val="left"/>
              <w:rPr>
                <w:sz w:val="18"/>
              </w:rPr>
            </w:pPr>
            <w:r>
              <w:rPr>
                <w:spacing w:val="-4"/>
                <w:sz w:val="18"/>
              </w:rPr>
              <w:t>0.17</w:t>
            </w:r>
          </w:p>
        </w:tc>
        <w:tc>
          <w:tcPr>
            <w:tcW w:w="948" w:type="dxa"/>
          </w:tcPr>
          <w:p>
            <w:pPr>
              <w:pStyle w:val="TableParagraph"/>
              <w:ind w:left="382"/>
              <w:jc w:val="left"/>
              <w:rPr>
                <w:b/>
                <w:sz w:val="18"/>
              </w:rPr>
            </w:pPr>
            <w:r>
              <w:rPr>
                <w:b/>
                <w:spacing w:val="-5"/>
                <w:sz w:val="18"/>
              </w:rPr>
              <w:t>52</w:t>
            </w:r>
          </w:p>
        </w:tc>
        <w:tc>
          <w:tcPr>
            <w:tcW w:w="948" w:type="dxa"/>
          </w:tcPr>
          <w:p>
            <w:pPr>
              <w:pStyle w:val="TableParagraph"/>
              <w:ind w:left="312"/>
              <w:jc w:val="left"/>
              <w:rPr>
                <w:sz w:val="18"/>
              </w:rPr>
            </w:pPr>
            <w:r>
              <w:rPr>
                <w:spacing w:val="-4"/>
                <w:sz w:val="18"/>
              </w:rPr>
              <w:t>3.52</w:t>
            </w:r>
          </w:p>
        </w:tc>
        <w:tc>
          <w:tcPr>
            <w:tcW w:w="948" w:type="dxa"/>
          </w:tcPr>
          <w:p>
            <w:pPr>
              <w:pStyle w:val="TableParagraph"/>
              <w:ind w:left="199" w:right="192"/>
              <w:rPr>
                <w:sz w:val="18"/>
              </w:rPr>
            </w:pPr>
            <w:r>
              <w:rPr>
                <w:spacing w:val="-4"/>
                <w:sz w:val="18"/>
              </w:rPr>
              <w:t>1.56</w:t>
            </w:r>
          </w:p>
        </w:tc>
        <w:tc>
          <w:tcPr>
            <w:tcW w:w="948" w:type="dxa"/>
          </w:tcPr>
          <w:p>
            <w:pPr>
              <w:pStyle w:val="TableParagraph"/>
              <w:ind w:right="375"/>
              <w:jc w:val="right"/>
              <w:rPr>
                <w:b/>
                <w:sz w:val="18"/>
              </w:rPr>
            </w:pPr>
            <w:r>
              <w:rPr>
                <w:b/>
                <w:spacing w:val="-5"/>
                <w:sz w:val="18"/>
              </w:rPr>
              <w:t>87</w:t>
            </w:r>
          </w:p>
        </w:tc>
        <w:tc>
          <w:tcPr>
            <w:tcW w:w="948" w:type="dxa"/>
            <w:tcBorders>
              <w:right w:val="single" w:sz="6" w:space="0" w:color="000000"/>
            </w:tcBorders>
          </w:tcPr>
          <w:p>
            <w:pPr>
              <w:pStyle w:val="TableParagraph"/>
              <w:ind w:left="205" w:right="197"/>
              <w:rPr>
                <w:sz w:val="18"/>
              </w:rPr>
            </w:pPr>
            <w:r>
              <w:rPr>
                <w:spacing w:val="-2"/>
                <w:sz w:val="18"/>
              </w:rPr>
              <w:t>110.13</w:t>
            </w:r>
          </w:p>
        </w:tc>
        <w:tc>
          <w:tcPr>
            <w:tcW w:w="943" w:type="dxa"/>
            <w:tcBorders>
              <w:left w:val="single" w:sz="6" w:space="0" w:color="000000"/>
            </w:tcBorders>
          </w:tcPr>
          <w:p>
            <w:pPr>
              <w:pStyle w:val="TableParagraph"/>
              <w:ind w:left="263"/>
              <w:jc w:val="left"/>
              <w:rPr>
                <w:sz w:val="18"/>
              </w:rPr>
            </w:pPr>
            <w:r>
              <w:rPr>
                <w:spacing w:val="-2"/>
                <w:sz w:val="18"/>
              </w:rPr>
              <w:t>84.26</w:t>
            </w:r>
          </w:p>
        </w:tc>
      </w:tr>
      <w:tr>
        <w:trPr>
          <w:trHeight w:val="314" w:hRule="atLeast"/>
        </w:trPr>
        <w:tc>
          <w:tcPr>
            <w:tcW w:w="946" w:type="dxa"/>
          </w:tcPr>
          <w:p>
            <w:pPr>
              <w:pStyle w:val="TableParagraph"/>
              <w:spacing w:before="47"/>
              <w:ind w:left="275" w:right="266"/>
              <w:rPr>
                <w:b/>
                <w:sz w:val="18"/>
              </w:rPr>
            </w:pPr>
            <w:r>
              <w:rPr>
                <w:b/>
                <w:spacing w:val="-5"/>
                <w:sz w:val="18"/>
              </w:rPr>
              <w:t>18</w:t>
            </w:r>
          </w:p>
        </w:tc>
        <w:tc>
          <w:tcPr>
            <w:tcW w:w="946" w:type="dxa"/>
          </w:tcPr>
          <w:p>
            <w:pPr>
              <w:pStyle w:val="TableParagraph"/>
              <w:spacing w:before="47"/>
              <w:ind w:left="276" w:right="266"/>
              <w:rPr>
                <w:sz w:val="18"/>
              </w:rPr>
            </w:pPr>
            <w:r>
              <w:rPr>
                <w:spacing w:val="-4"/>
                <w:sz w:val="18"/>
              </w:rPr>
              <w:t>0.33</w:t>
            </w:r>
          </w:p>
        </w:tc>
        <w:tc>
          <w:tcPr>
            <w:tcW w:w="949" w:type="dxa"/>
          </w:tcPr>
          <w:p>
            <w:pPr>
              <w:pStyle w:val="TableParagraph"/>
              <w:spacing w:before="47"/>
              <w:ind w:left="313"/>
              <w:jc w:val="left"/>
              <w:rPr>
                <w:sz w:val="18"/>
              </w:rPr>
            </w:pPr>
            <w:r>
              <w:rPr>
                <w:spacing w:val="-4"/>
                <w:sz w:val="18"/>
              </w:rPr>
              <w:t>0.18</w:t>
            </w:r>
          </w:p>
        </w:tc>
        <w:tc>
          <w:tcPr>
            <w:tcW w:w="948" w:type="dxa"/>
          </w:tcPr>
          <w:p>
            <w:pPr>
              <w:pStyle w:val="TableParagraph"/>
              <w:spacing w:before="47"/>
              <w:ind w:left="382"/>
              <w:jc w:val="left"/>
              <w:rPr>
                <w:b/>
                <w:sz w:val="18"/>
              </w:rPr>
            </w:pPr>
            <w:r>
              <w:rPr>
                <w:b/>
                <w:spacing w:val="-5"/>
                <w:sz w:val="18"/>
              </w:rPr>
              <w:t>53</w:t>
            </w:r>
          </w:p>
        </w:tc>
        <w:tc>
          <w:tcPr>
            <w:tcW w:w="948" w:type="dxa"/>
          </w:tcPr>
          <w:p>
            <w:pPr>
              <w:pStyle w:val="TableParagraph"/>
              <w:spacing w:before="47"/>
              <w:ind w:left="312"/>
              <w:jc w:val="left"/>
              <w:rPr>
                <w:sz w:val="18"/>
              </w:rPr>
            </w:pPr>
            <w:r>
              <w:rPr>
                <w:spacing w:val="-4"/>
                <w:sz w:val="18"/>
              </w:rPr>
              <w:t>3.81</w:t>
            </w:r>
          </w:p>
        </w:tc>
        <w:tc>
          <w:tcPr>
            <w:tcW w:w="948" w:type="dxa"/>
          </w:tcPr>
          <w:p>
            <w:pPr>
              <w:pStyle w:val="TableParagraph"/>
              <w:spacing w:before="47"/>
              <w:ind w:left="199" w:right="194"/>
              <w:rPr>
                <w:sz w:val="18"/>
              </w:rPr>
            </w:pPr>
            <w:r>
              <w:rPr>
                <w:spacing w:val="-4"/>
                <w:sz w:val="18"/>
              </w:rPr>
              <w:t>1.70</w:t>
            </w:r>
          </w:p>
        </w:tc>
        <w:tc>
          <w:tcPr>
            <w:tcW w:w="948" w:type="dxa"/>
          </w:tcPr>
          <w:p>
            <w:pPr>
              <w:pStyle w:val="TableParagraph"/>
              <w:spacing w:before="47"/>
              <w:ind w:right="373"/>
              <w:jc w:val="right"/>
              <w:rPr>
                <w:b/>
                <w:sz w:val="18"/>
              </w:rPr>
            </w:pPr>
            <w:r>
              <w:rPr>
                <w:b/>
                <w:spacing w:val="-5"/>
                <w:sz w:val="18"/>
              </w:rPr>
              <w:t>88</w:t>
            </w:r>
          </w:p>
        </w:tc>
        <w:tc>
          <w:tcPr>
            <w:tcW w:w="948" w:type="dxa"/>
            <w:tcBorders>
              <w:right w:val="single" w:sz="6" w:space="0" w:color="000000"/>
            </w:tcBorders>
          </w:tcPr>
          <w:p>
            <w:pPr>
              <w:pStyle w:val="TableParagraph"/>
              <w:spacing w:before="47"/>
              <w:ind w:left="205" w:right="197"/>
              <w:rPr>
                <w:sz w:val="18"/>
              </w:rPr>
            </w:pPr>
            <w:r>
              <w:rPr>
                <w:spacing w:val="-2"/>
                <w:sz w:val="18"/>
              </w:rPr>
              <w:t>120.13</w:t>
            </w:r>
          </w:p>
        </w:tc>
        <w:tc>
          <w:tcPr>
            <w:tcW w:w="943" w:type="dxa"/>
            <w:tcBorders>
              <w:left w:val="single" w:sz="6" w:space="0" w:color="000000"/>
            </w:tcBorders>
          </w:tcPr>
          <w:p>
            <w:pPr>
              <w:pStyle w:val="TableParagraph"/>
              <w:spacing w:before="47"/>
              <w:ind w:left="263"/>
              <w:jc w:val="left"/>
              <w:rPr>
                <w:sz w:val="18"/>
              </w:rPr>
            </w:pPr>
            <w:r>
              <w:rPr>
                <w:spacing w:val="-2"/>
                <w:sz w:val="18"/>
              </w:rPr>
              <w:t>92.85</w:t>
            </w:r>
          </w:p>
        </w:tc>
      </w:tr>
      <w:tr>
        <w:trPr>
          <w:trHeight w:val="311" w:hRule="atLeast"/>
        </w:trPr>
        <w:tc>
          <w:tcPr>
            <w:tcW w:w="946" w:type="dxa"/>
          </w:tcPr>
          <w:p>
            <w:pPr>
              <w:pStyle w:val="TableParagraph"/>
              <w:ind w:left="275" w:right="266"/>
              <w:rPr>
                <w:b/>
                <w:sz w:val="18"/>
              </w:rPr>
            </w:pPr>
            <w:r>
              <w:rPr>
                <w:b/>
                <w:spacing w:val="-5"/>
                <w:sz w:val="18"/>
              </w:rPr>
              <w:t>19</w:t>
            </w:r>
          </w:p>
        </w:tc>
        <w:tc>
          <w:tcPr>
            <w:tcW w:w="946" w:type="dxa"/>
          </w:tcPr>
          <w:p>
            <w:pPr>
              <w:pStyle w:val="TableParagraph"/>
              <w:ind w:left="276" w:right="266"/>
              <w:rPr>
                <w:sz w:val="18"/>
              </w:rPr>
            </w:pPr>
            <w:r>
              <w:rPr>
                <w:spacing w:val="-4"/>
                <w:sz w:val="18"/>
              </w:rPr>
              <w:t>0.34</w:t>
            </w:r>
          </w:p>
        </w:tc>
        <w:tc>
          <w:tcPr>
            <w:tcW w:w="949" w:type="dxa"/>
          </w:tcPr>
          <w:p>
            <w:pPr>
              <w:pStyle w:val="TableParagraph"/>
              <w:ind w:left="313"/>
              <w:jc w:val="left"/>
              <w:rPr>
                <w:sz w:val="18"/>
              </w:rPr>
            </w:pPr>
            <w:r>
              <w:rPr>
                <w:spacing w:val="-4"/>
                <w:sz w:val="18"/>
              </w:rPr>
              <w:t>0.18</w:t>
            </w:r>
          </w:p>
        </w:tc>
        <w:tc>
          <w:tcPr>
            <w:tcW w:w="948" w:type="dxa"/>
          </w:tcPr>
          <w:p>
            <w:pPr>
              <w:pStyle w:val="TableParagraph"/>
              <w:ind w:left="380"/>
              <w:jc w:val="left"/>
              <w:rPr>
                <w:b/>
                <w:sz w:val="18"/>
              </w:rPr>
            </w:pPr>
            <w:r>
              <w:rPr>
                <w:b/>
                <w:spacing w:val="-5"/>
                <w:sz w:val="18"/>
              </w:rPr>
              <w:t>54</w:t>
            </w:r>
          </w:p>
        </w:tc>
        <w:tc>
          <w:tcPr>
            <w:tcW w:w="948" w:type="dxa"/>
          </w:tcPr>
          <w:p>
            <w:pPr>
              <w:pStyle w:val="TableParagraph"/>
              <w:ind w:left="312"/>
              <w:jc w:val="left"/>
              <w:rPr>
                <w:sz w:val="18"/>
              </w:rPr>
            </w:pPr>
            <w:r>
              <w:rPr>
                <w:spacing w:val="-4"/>
                <w:sz w:val="18"/>
              </w:rPr>
              <w:t>4.11</w:t>
            </w:r>
          </w:p>
        </w:tc>
        <w:tc>
          <w:tcPr>
            <w:tcW w:w="948" w:type="dxa"/>
          </w:tcPr>
          <w:p>
            <w:pPr>
              <w:pStyle w:val="TableParagraph"/>
              <w:ind w:left="199" w:right="192"/>
              <w:rPr>
                <w:sz w:val="18"/>
              </w:rPr>
            </w:pPr>
            <w:r>
              <w:rPr>
                <w:spacing w:val="-4"/>
                <w:sz w:val="18"/>
              </w:rPr>
              <w:t>1.84</w:t>
            </w:r>
          </w:p>
        </w:tc>
        <w:tc>
          <w:tcPr>
            <w:tcW w:w="948" w:type="dxa"/>
          </w:tcPr>
          <w:p>
            <w:pPr>
              <w:pStyle w:val="TableParagraph"/>
              <w:ind w:right="373"/>
              <w:jc w:val="right"/>
              <w:rPr>
                <w:b/>
                <w:sz w:val="18"/>
              </w:rPr>
            </w:pPr>
            <w:r>
              <w:rPr>
                <w:b/>
                <w:spacing w:val="-5"/>
                <w:sz w:val="18"/>
              </w:rPr>
              <w:t>89</w:t>
            </w:r>
          </w:p>
        </w:tc>
        <w:tc>
          <w:tcPr>
            <w:tcW w:w="948" w:type="dxa"/>
            <w:tcBorders>
              <w:right w:val="single" w:sz="6" w:space="0" w:color="000000"/>
            </w:tcBorders>
          </w:tcPr>
          <w:p>
            <w:pPr>
              <w:pStyle w:val="TableParagraph"/>
              <w:ind w:left="205" w:right="197"/>
              <w:rPr>
                <w:sz w:val="18"/>
              </w:rPr>
            </w:pPr>
            <w:r>
              <w:rPr>
                <w:spacing w:val="-2"/>
                <w:sz w:val="18"/>
              </w:rPr>
              <w:t>130.93</w:t>
            </w:r>
          </w:p>
        </w:tc>
        <w:tc>
          <w:tcPr>
            <w:tcW w:w="943" w:type="dxa"/>
            <w:tcBorders>
              <w:left w:val="single" w:sz="6" w:space="0" w:color="000000"/>
            </w:tcBorders>
          </w:tcPr>
          <w:p>
            <w:pPr>
              <w:pStyle w:val="TableParagraph"/>
              <w:ind w:left="217"/>
              <w:jc w:val="left"/>
              <w:rPr>
                <w:sz w:val="18"/>
              </w:rPr>
            </w:pPr>
            <w:r>
              <w:rPr>
                <w:spacing w:val="-2"/>
                <w:sz w:val="18"/>
              </w:rPr>
              <w:t>101.78</w:t>
            </w:r>
          </w:p>
        </w:tc>
      </w:tr>
      <w:tr>
        <w:trPr>
          <w:trHeight w:val="311" w:hRule="atLeast"/>
        </w:trPr>
        <w:tc>
          <w:tcPr>
            <w:tcW w:w="946" w:type="dxa"/>
          </w:tcPr>
          <w:p>
            <w:pPr>
              <w:pStyle w:val="TableParagraph"/>
              <w:ind w:left="275" w:right="266"/>
              <w:rPr>
                <w:b/>
                <w:sz w:val="18"/>
              </w:rPr>
            </w:pPr>
            <w:r>
              <w:rPr>
                <w:b/>
                <w:spacing w:val="-5"/>
                <w:sz w:val="18"/>
              </w:rPr>
              <w:t>20</w:t>
            </w:r>
          </w:p>
        </w:tc>
        <w:tc>
          <w:tcPr>
            <w:tcW w:w="946" w:type="dxa"/>
          </w:tcPr>
          <w:p>
            <w:pPr>
              <w:pStyle w:val="TableParagraph"/>
              <w:ind w:left="276" w:right="266"/>
              <w:rPr>
                <w:sz w:val="18"/>
              </w:rPr>
            </w:pPr>
            <w:r>
              <w:rPr>
                <w:spacing w:val="-4"/>
                <w:sz w:val="18"/>
              </w:rPr>
              <w:t>0.36</w:t>
            </w:r>
          </w:p>
        </w:tc>
        <w:tc>
          <w:tcPr>
            <w:tcW w:w="949" w:type="dxa"/>
          </w:tcPr>
          <w:p>
            <w:pPr>
              <w:pStyle w:val="TableParagraph"/>
              <w:ind w:left="313"/>
              <w:jc w:val="left"/>
              <w:rPr>
                <w:sz w:val="18"/>
              </w:rPr>
            </w:pPr>
            <w:r>
              <w:rPr>
                <w:spacing w:val="-4"/>
                <w:sz w:val="18"/>
              </w:rPr>
              <w:t>0.19</w:t>
            </w:r>
          </w:p>
        </w:tc>
        <w:tc>
          <w:tcPr>
            <w:tcW w:w="948" w:type="dxa"/>
          </w:tcPr>
          <w:p>
            <w:pPr>
              <w:pStyle w:val="TableParagraph"/>
              <w:ind w:left="380"/>
              <w:jc w:val="left"/>
              <w:rPr>
                <w:b/>
                <w:sz w:val="18"/>
              </w:rPr>
            </w:pPr>
            <w:r>
              <w:rPr>
                <w:b/>
                <w:spacing w:val="-5"/>
                <w:sz w:val="18"/>
              </w:rPr>
              <w:t>55</w:t>
            </w:r>
          </w:p>
        </w:tc>
        <w:tc>
          <w:tcPr>
            <w:tcW w:w="948" w:type="dxa"/>
          </w:tcPr>
          <w:p>
            <w:pPr>
              <w:pStyle w:val="TableParagraph"/>
              <w:ind w:left="312"/>
              <w:jc w:val="left"/>
              <w:rPr>
                <w:sz w:val="18"/>
              </w:rPr>
            </w:pPr>
            <w:r>
              <w:rPr>
                <w:spacing w:val="-4"/>
                <w:sz w:val="18"/>
              </w:rPr>
              <w:t>4.41</w:t>
            </w:r>
          </w:p>
        </w:tc>
        <w:tc>
          <w:tcPr>
            <w:tcW w:w="948" w:type="dxa"/>
          </w:tcPr>
          <w:p>
            <w:pPr>
              <w:pStyle w:val="TableParagraph"/>
              <w:ind w:left="199" w:right="192"/>
              <w:rPr>
                <w:sz w:val="18"/>
              </w:rPr>
            </w:pPr>
            <w:r>
              <w:rPr>
                <w:spacing w:val="-4"/>
                <w:sz w:val="18"/>
              </w:rPr>
              <w:t>2.00</w:t>
            </w:r>
          </w:p>
        </w:tc>
        <w:tc>
          <w:tcPr>
            <w:tcW w:w="948" w:type="dxa"/>
          </w:tcPr>
          <w:p>
            <w:pPr>
              <w:pStyle w:val="TableParagraph"/>
              <w:ind w:right="373"/>
              <w:jc w:val="right"/>
              <w:rPr>
                <w:b/>
                <w:sz w:val="18"/>
              </w:rPr>
            </w:pPr>
            <w:r>
              <w:rPr>
                <w:b/>
                <w:spacing w:val="-5"/>
                <w:sz w:val="18"/>
              </w:rPr>
              <w:t>90</w:t>
            </w:r>
          </w:p>
        </w:tc>
        <w:tc>
          <w:tcPr>
            <w:tcW w:w="948" w:type="dxa"/>
            <w:tcBorders>
              <w:right w:val="single" w:sz="6" w:space="0" w:color="000000"/>
            </w:tcBorders>
          </w:tcPr>
          <w:p>
            <w:pPr>
              <w:pStyle w:val="TableParagraph"/>
              <w:ind w:left="205" w:right="197"/>
              <w:rPr>
                <w:sz w:val="18"/>
              </w:rPr>
            </w:pPr>
            <w:r>
              <w:rPr>
                <w:spacing w:val="-2"/>
                <w:sz w:val="18"/>
              </w:rPr>
              <w:t>142.64</w:t>
            </w:r>
          </w:p>
        </w:tc>
        <w:tc>
          <w:tcPr>
            <w:tcW w:w="943" w:type="dxa"/>
            <w:tcBorders>
              <w:left w:val="single" w:sz="6" w:space="0" w:color="000000"/>
            </w:tcBorders>
          </w:tcPr>
          <w:p>
            <w:pPr>
              <w:pStyle w:val="TableParagraph"/>
              <w:ind w:left="217"/>
              <w:jc w:val="left"/>
              <w:rPr>
                <w:sz w:val="18"/>
              </w:rPr>
            </w:pPr>
            <w:r>
              <w:rPr>
                <w:spacing w:val="-2"/>
                <w:sz w:val="18"/>
              </w:rPr>
              <w:t>111.00</w:t>
            </w:r>
          </w:p>
        </w:tc>
      </w:tr>
      <w:tr>
        <w:trPr>
          <w:trHeight w:val="311" w:hRule="atLeast"/>
        </w:trPr>
        <w:tc>
          <w:tcPr>
            <w:tcW w:w="946" w:type="dxa"/>
          </w:tcPr>
          <w:p>
            <w:pPr>
              <w:pStyle w:val="TableParagraph"/>
              <w:spacing w:before="45"/>
              <w:ind w:left="275" w:right="266"/>
              <w:rPr>
                <w:b/>
                <w:sz w:val="18"/>
              </w:rPr>
            </w:pPr>
            <w:r>
              <w:rPr>
                <w:b/>
                <w:spacing w:val="-5"/>
                <w:sz w:val="18"/>
              </w:rPr>
              <w:t>21</w:t>
            </w:r>
          </w:p>
        </w:tc>
        <w:tc>
          <w:tcPr>
            <w:tcW w:w="946" w:type="dxa"/>
          </w:tcPr>
          <w:p>
            <w:pPr>
              <w:pStyle w:val="TableParagraph"/>
              <w:spacing w:before="45"/>
              <w:ind w:left="276" w:right="266"/>
              <w:rPr>
                <w:sz w:val="18"/>
              </w:rPr>
            </w:pPr>
            <w:r>
              <w:rPr>
                <w:spacing w:val="-4"/>
                <w:sz w:val="18"/>
              </w:rPr>
              <w:t>0.37</w:t>
            </w:r>
          </w:p>
        </w:tc>
        <w:tc>
          <w:tcPr>
            <w:tcW w:w="949" w:type="dxa"/>
          </w:tcPr>
          <w:p>
            <w:pPr>
              <w:pStyle w:val="TableParagraph"/>
              <w:spacing w:before="45"/>
              <w:ind w:left="313"/>
              <w:jc w:val="left"/>
              <w:rPr>
                <w:sz w:val="18"/>
              </w:rPr>
            </w:pPr>
            <w:r>
              <w:rPr>
                <w:spacing w:val="-4"/>
                <w:sz w:val="18"/>
              </w:rPr>
              <w:t>0.19</w:t>
            </w:r>
          </w:p>
        </w:tc>
        <w:tc>
          <w:tcPr>
            <w:tcW w:w="948" w:type="dxa"/>
          </w:tcPr>
          <w:p>
            <w:pPr>
              <w:pStyle w:val="TableParagraph"/>
              <w:spacing w:before="45"/>
              <w:ind w:left="380"/>
              <w:jc w:val="left"/>
              <w:rPr>
                <w:b/>
                <w:sz w:val="18"/>
              </w:rPr>
            </w:pPr>
            <w:r>
              <w:rPr>
                <w:b/>
                <w:spacing w:val="-5"/>
                <w:sz w:val="18"/>
              </w:rPr>
              <w:t>56</w:t>
            </w:r>
          </w:p>
        </w:tc>
        <w:tc>
          <w:tcPr>
            <w:tcW w:w="948" w:type="dxa"/>
          </w:tcPr>
          <w:p>
            <w:pPr>
              <w:pStyle w:val="TableParagraph"/>
              <w:spacing w:before="45"/>
              <w:ind w:left="312"/>
              <w:jc w:val="left"/>
              <w:rPr>
                <w:sz w:val="18"/>
              </w:rPr>
            </w:pPr>
            <w:r>
              <w:rPr>
                <w:spacing w:val="-4"/>
                <w:sz w:val="18"/>
              </w:rPr>
              <w:t>4.72</w:t>
            </w:r>
          </w:p>
        </w:tc>
        <w:tc>
          <w:tcPr>
            <w:tcW w:w="948" w:type="dxa"/>
          </w:tcPr>
          <w:p>
            <w:pPr>
              <w:pStyle w:val="TableParagraph"/>
              <w:spacing w:before="45"/>
              <w:ind w:left="199" w:right="192"/>
              <w:rPr>
                <w:sz w:val="18"/>
              </w:rPr>
            </w:pPr>
            <w:r>
              <w:rPr>
                <w:spacing w:val="-4"/>
                <w:sz w:val="18"/>
              </w:rPr>
              <w:t>2.16</w:t>
            </w:r>
          </w:p>
        </w:tc>
        <w:tc>
          <w:tcPr>
            <w:tcW w:w="948" w:type="dxa"/>
          </w:tcPr>
          <w:p>
            <w:pPr>
              <w:pStyle w:val="TableParagraph"/>
              <w:spacing w:before="45"/>
              <w:ind w:right="373"/>
              <w:jc w:val="right"/>
              <w:rPr>
                <w:b/>
                <w:sz w:val="18"/>
              </w:rPr>
            </w:pPr>
            <w:r>
              <w:rPr>
                <w:b/>
                <w:spacing w:val="-5"/>
                <w:sz w:val="18"/>
              </w:rPr>
              <w:t>91</w:t>
            </w:r>
          </w:p>
        </w:tc>
        <w:tc>
          <w:tcPr>
            <w:tcW w:w="948" w:type="dxa"/>
            <w:tcBorders>
              <w:right w:val="single" w:sz="6" w:space="0" w:color="000000"/>
            </w:tcBorders>
          </w:tcPr>
          <w:p>
            <w:pPr>
              <w:pStyle w:val="TableParagraph"/>
              <w:spacing w:before="45"/>
              <w:ind w:left="205" w:right="197"/>
              <w:rPr>
                <w:sz w:val="18"/>
              </w:rPr>
            </w:pPr>
            <w:r>
              <w:rPr>
                <w:spacing w:val="-2"/>
                <w:sz w:val="18"/>
              </w:rPr>
              <w:t>155.31</w:t>
            </w:r>
          </w:p>
        </w:tc>
        <w:tc>
          <w:tcPr>
            <w:tcW w:w="943" w:type="dxa"/>
            <w:tcBorders>
              <w:left w:val="single" w:sz="6" w:space="0" w:color="000000"/>
            </w:tcBorders>
          </w:tcPr>
          <w:p>
            <w:pPr>
              <w:pStyle w:val="TableParagraph"/>
              <w:spacing w:before="45"/>
              <w:ind w:left="217"/>
              <w:jc w:val="left"/>
              <w:rPr>
                <w:sz w:val="18"/>
              </w:rPr>
            </w:pPr>
            <w:r>
              <w:rPr>
                <w:spacing w:val="-2"/>
                <w:sz w:val="18"/>
              </w:rPr>
              <w:t>120.52</w:t>
            </w:r>
          </w:p>
        </w:tc>
      </w:tr>
      <w:tr>
        <w:trPr>
          <w:trHeight w:val="311" w:hRule="atLeast"/>
        </w:trPr>
        <w:tc>
          <w:tcPr>
            <w:tcW w:w="946" w:type="dxa"/>
          </w:tcPr>
          <w:p>
            <w:pPr>
              <w:pStyle w:val="TableParagraph"/>
              <w:ind w:left="275" w:right="266"/>
              <w:rPr>
                <w:b/>
                <w:sz w:val="18"/>
              </w:rPr>
            </w:pPr>
            <w:r>
              <w:rPr>
                <w:b/>
                <w:spacing w:val="-5"/>
                <w:sz w:val="18"/>
              </w:rPr>
              <w:t>22</w:t>
            </w:r>
          </w:p>
        </w:tc>
        <w:tc>
          <w:tcPr>
            <w:tcW w:w="946" w:type="dxa"/>
          </w:tcPr>
          <w:p>
            <w:pPr>
              <w:pStyle w:val="TableParagraph"/>
              <w:ind w:left="276" w:right="266"/>
              <w:rPr>
                <w:sz w:val="18"/>
              </w:rPr>
            </w:pPr>
            <w:r>
              <w:rPr>
                <w:spacing w:val="-4"/>
                <w:sz w:val="18"/>
              </w:rPr>
              <w:t>0.38</w:t>
            </w:r>
          </w:p>
        </w:tc>
        <w:tc>
          <w:tcPr>
            <w:tcW w:w="949" w:type="dxa"/>
          </w:tcPr>
          <w:p>
            <w:pPr>
              <w:pStyle w:val="TableParagraph"/>
              <w:ind w:left="313"/>
              <w:jc w:val="left"/>
              <w:rPr>
                <w:sz w:val="18"/>
              </w:rPr>
            </w:pPr>
            <w:r>
              <w:rPr>
                <w:spacing w:val="-4"/>
                <w:sz w:val="18"/>
              </w:rPr>
              <w:t>0.20</w:t>
            </w:r>
          </w:p>
        </w:tc>
        <w:tc>
          <w:tcPr>
            <w:tcW w:w="948" w:type="dxa"/>
          </w:tcPr>
          <w:p>
            <w:pPr>
              <w:pStyle w:val="TableParagraph"/>
              <w:ind w:left="382"/>
              <w:jc w:val="left"/>
              <w:rPr>
                <w:b/>
                <w:sz w:val="18"/>
              </w:rPr>
            </w:pPr>
            <w:r>
              <w:rPr>
                <w:b/>
                <w:spacing w:val="-5"/>
                <w:sz w:val="18"/>
              </w:rPr>
              <w:t>57</w:t>
            </w:r>
          </w:p>
        </w:tc>
        <w:tc>
          <w:tcPr>
            <w:tcW w:w="948" w:type="dxa"/>
          </w:tcPr>
          <w:p>
            <w:pPr>
              <w:pStyle w:val="TableParagraph"/>
              <w:ind w:left="312"/>
              <w:jc w:val="left"/>
              <w:rPr>
                <w:sz w:val="18"/>
              </w:rPr>
            </w:pPr>
            <w:r>
              <w:rPr>
                <w:spacing w:val="-4"/>
                <w:sz w:val="18"/>
              </w:rPr>
              <w:t>5.06</w:t>
            </w:r>
          </w:p>
        </w:tc>
        <w:tc>
          <w:tcPr>
            <w:tcW w:w="948" w:type="dxa"/>
          </w:tcPr>
          <w:p>
            <w:pPr>
              <w:pStyle w:val="TableParagraph"/>
              <w:ind w:left="199" w:right="192"/>
              <w:rPr>
                <w:sz w:val="18"/>
              </w:rPr>
            </w:pPr>
            <w:r>
              <w:rPr>
                <w:spacing w:val="-4"/>
                <w:sz w:val="18"/>
              </w:rPr>
              <w:t>2.34</w:t>
            </w:r>
          </w:p>
        </w:tc>
        <w:tc>
          <w:tcPr>
            <w:tcW w:w="948" w:type="dxa"/>
          </w:tcPr>
          <w:p>
            <w:pPr>
              <w:pStyle w:val="TableParagraph"/>
              <w:ind w:right="375"/>
              <w:jc w:val="right"/>
              <w:rPr>
                <w:b/>
                <w:sz w:val="18"/>
              </w:rPr>
            </w:pPr>
            <w:r>
              <w:rPr>
                <w:b/>
                <w:spacing w:val="-5"/>
                <w:sz w:val="18"/>
              </w:rPr>
              <w:t>92</w:t>
            </w:r>
          </w:p>
        </w:tc>
        <w:tc>
          <w:tcPr>
            <w:tcW w:w="948" w:type="dxa"/>
            <w:tcBorders>
              <w:right w:val="single" w:sz="6" w:space="0" w:color="000000"/>
            </w:tcBorders>
          </w:tcPr>
          <w:p>
            <w:pPr>
              <w:pStyle w:val="TableParagraph"/>
              <w:ind w:left="203" w:right="198"/>
              <w:rPr>
                <w:sz w:val="18"/>
              </w:rPr>
            </w:pPr>
            <w:r>
              <w:rPr>
                <w:spacing w:val="-2"/>
                <w:sz w:val="18"/>
              </w:rPr>
              <w:t>169.02</w:t>
            </w:r>
          </w:p>
        </w:tc>
        <w:tc>
          <w:tcPr>
            <w:tcW w:w="943" w:type="dxa"/>
            <w:tcBorders>
              <w:left w:val="single" w:sz="6" w:space="0" w:color="000000"/>
            </w:tcBorders>
          </w:tcPr>
          <w:p>
            <w:pPr>
              <w:pStyle w:val="TableParagraph"/>
              <w:ind w:left="217"/>
              <w:jc w:val="left"/>
              <w:rPr>
                <w:sz w:val="18"/>
              </w:rPr>
            </w:pPr>
            <w:r>
              <w:rPr>
                <w:spacing w:val="-2"/>
                <w:sz w:val="18"/>
              </w:rPr>
              <w:t>130.41</w:t>
            </w:r>
          </w:p>
        </w:tc>
      </w:tr>
      <w:tr>
        <w:trPr>
          <w:trHeight w:val="311" w:hRule="atLeast"/>
        </w:trPr>
        <w:tc>
          <w:tcPr>
            <w:tcW w:w="946" w:type="dxa"/>
          </w:tcPr>
          <w:p>
            <w:pPr>
              <w:pStyle w:val="TableParagraph"/>
              <w:ind w:left="275" w:right="266"/>
              <w:rPr>
                <w:b/>
                <w:sz w:val="18"/>
              </w:rPr>
            </w:pPr>
            <w:r>
              <w:rPr>
                <w:b/>
                <w:spacing w:val="-5"/>
                <w:sz w:val="18"/>
              </w:rPr>
              <w:t>23</w:t>
            </w:r>
          </w:p>
        </w:tc>
        <w:tc>
          <w:tcPr>
            <w:tcW w:w="946" w:type="dxa"/>
          </w:tcPr>
          <w:p>
            <w:pPr>
              <w:pStyle w:val="TableParagraph"/>
              <w:ind w:left="276" w:right="266"/>
              <w:rPr>
                <w:sz w:val="18"/>
              </w:rPr>
            </w:pPr>
            <w:r>
              <w:rPr>
                <w:spacing w:val="-4"/>
                <w:sz w:val="18"/>
              </w:rPr>
              <w:t>0.40</w:t>
            </w:r>
          </w:p>
        </w:tc>
        <w:tc>
          <w:tcPr>
            <w:tcW w:w="949" w:type="dxa"/>
          </w:tcPr>
          <w:p>
            <w:pPr>
              <w:pStyle w:val="TableParagraph"/>
              <w:ind w:left="313"/>
              <w:jc w:val="left"/>
              <w:rPr>
                <w:sz w:val="18"/>
              </w:rPr>
            </w:pPr>
            <w:r>
              <w:rPr>
                <w:spacing w:val="-4"/>
                <w:sz w:val="18"/>
              </w:rPr>
              <w:t>0.20</w:t>
            </w:r>
          </w:p>
        </w:tc>
        <w:tc>
          <w:tcPr>
            <w:tcW w:w="948" w:type="dxa"/>
          </w:tcPr>
          <w:p>
            <w:pPr>
              <w:pStyle w:val="TableParagraph"/>
              <w:ind w:left="380"/>
              <w:jc w:val="left"/>
              <w:rPr>
                <w:b/>
                <w:sz w:val="18"/>
              </w:rPr>
            </w:pPr>
            <w:r>
              <w:rPr>
                <w:b/>
                <w:spacing w:val="-5"/>
                <w:sz w:val="18"/>
              </w:rPr>
              <w:t>58</w:t>
            </w:r>
          </w:p>
        </w:tc>
        <w:tc>
          <w:tcPr>
            <w:tcW w:w="948" w:type="dxa"/>
          </w:tcPr>
          <w:p>
            <w:pPr>
              <w:pStyle w:val="TableParagraph"/>
              <w:ind w:left="312"/>
              <w:jc w:val="left"/>
              <w:rPr>
                <w:sz w:val="18"/>
              </w:rPr>
            </w:pPr>
            <w:r>
              <w:rPr>
                <w:spacing w:val="-4"/>
                <w:sz w:val="18"/>
              </w:rPr>
              <w:t>5.44</w:t>
            </w:r>
          </w:p>
        </w:tc>
        <w:tc>
          <w:tcPr>
            <w:tcW w:w="948" w:type="dxa"/>
          </w:tcPr>
          <w:p>
            <w:pPr>
              <w:pStyle w:val="TableParagraph"/>
              <w:ind w:left="199" w:right="192"/>
              <w:rPr>
                <w:sz w:val="18"/>
              </w:rPr>
            </w:pPr>
            <w:r>
              <w:rPr>
                <w:spacing w:val="-4"/>
                <w:sz w:val="18"/>
              </w:rPr>
              <w:t>2.55</w:t>
            </w:r>
          </w:p>
        </w:tc>
        <w:tc>
          <w:tcPr>
            <w:tcW w:w="948" w:type="dxa"/>
          </w:tcPr>
          <w:p>
            <w:pPr>
              <w:pStyle w:val="TableParagraph"/>
              <w:ind w:right="373"/>
              <w:jc w:val="right"/>
              <w:rPr>
                <w:b/>
                <w:sz w:val="18"/>
              </w:rPr>
            </w:pPr>
            <w:r>
              <w:rPr>
                <w:b/>
                <w:spacing w:val="-5"/>
                <w:sz w:val="18"/>
              </w:rPr>
              <w:t>93</w:t>
            </w:r>
          </w:p>
        </w:tc>
        <w:tc>
          <w:tcPr>
            <w:tcW w:w="948" w:type="dxa"/>
            <w:tcBorders>
              <w:right w:val="single" w:sz="6" w:space="0" w:color="000000"/>
            </w:tcBorders>
          </w:tcPr>
          <w:p>
            <w:pPr>
              <w:pStyle w:val="TableParagraph"/>
              <w:ind w:left="203" w:right="198"/>
              <w:rPr>
                <w:sz w:val="18"/>
              </w:rPr>
            </w:pPr>
            <w:r>
              <w:rPr>
                <w:spacing w:val="-2"/>
                <w:sz w:val="18"/>
              </w:rPr>
              <w:t>183.78</w:t>
            </w:r>
          </w:p>
        </w:tc>
        <w:tc>
          <w:tcPr>
            <w:tcW w:w="943" w:type="dxa"/>
            <w:tcBorders>
              <w:left w:val="single" w:sz="6" w:space="0" w:color="000000"/>
            </w:tcBorders>
          </w:tcPr>
          <w:p>
            <w:pPr>
              <w:pStyle w:val="TableParagraph"/>
              <w:ind w:left="217"/>
              <w:jc w:val="left"/>
              <w:rPr>
                <w:sz w:val="18"/>
              </w:rPr>
            </w:pPr>
            <w:r>
              <w:rPr>
                <w:spacing w:val="-2"/>
                <w:sz w:val="18"/>
              </w:rPr>
              <w:t>140.79</w:t>
            </w:r>
          </w:p>
        </w:tc>
      </w:tr>
      <w:tr>
        <w:trPr>
          <w:trHeight w:val="313" w:hRule="atLeast"/>
        </w:trPr>
        <w:tc>
          <w:tcPr>
            <w:tcW w:w="946" w:type="dxa"/>
          </w:tcPr>
          <w:p>
            <w:pPr>
              <w:pStyle w:val="TableParagraph"/>
              <w:spacing w:before="47"/>
              <w:ind w:left="275" w:right="266"/>
              <w:rPr>
                <w:b/>
                <w:sz w:val="18"/>
              </w:rPr>
            </w:pPr>
            <w:r>
              <w:rPr>
                <w:b/>
                <w:spacing w:val="-5"/>
                <w:sz w:val="18"/>
              </w:rPr>
              <w:t>24</w:t>
            </w:r>
          </w:p>
        </w:tc>
        <w:tc>
          <w:tcPr>
            <w:tcW w:w="946" w:type="dxa"/>
          </w:tcPr>
          <w:p>
            <w:pPr>
              <w:pStyle w:val="TableParagraph"/>
              <w:spacing w:before="47"/>
              <w:ind w:left="276" w:right="266"/>
              <w:rPr>
                <w:sz w:val="18"/>
              </w:rPr>
            </w:pPr>
            <w:r>
              <w:rPr>
                <w:spacing w:val="-4"/>
                <w:sz w:val="18"/>
              </w:rPr>
              <w:t>0.41</w:t>
            </w:r>
          </w:p>
        </w:tc>
        <w:tc>
          <w:tcPr>
            <w:tcW w:w="949" w:type="dxa"/>
          </w:tcPr>
          <w:p>
            <w:pPr>
              <w:pStyle w:val="TableParagraph"/>
              <w:spacing w:before="47"/>
              <w:ind w:left="313"/>
              <w:jc w:val="left"/>
              <w:rPr>
                <w:sz w:val="18"/>
              </w:rPr>
            </w:pPr>
            <w:r>
              <w:rPr>
                <w:spacing w:val="-4"/>
                <w:sz w:val="18"/>
              </w:rPr>
              <w:t>0.20</w:t>
            </w:r>
          </w:p>
        </w:tc>
        <w:tc>
          <w:tcPr>
            <w:tcW w:w="948" w:type="dxa"/>
          </w:tcPr>
          <w:p>
            <w:pPr>
              <w:pStyle w:val="TableParagraph"/>
              <w:spacing w:before="47"/>
              <w:ind w:left="380"/>
              <w:jc w:val="left"/>
              <w:rPr>
                <w:b/>
                <w:sz w:val="18"/>
              </w:rPr>
            </w:pPr>
            <w:r>
              <w:rPr>
                <w:b/>
                <w:spacing w:val="-5"/>
                <w:sz w:val="18"/>
              </w:rPr>
              <w:t>59</w:t>
            </w:r>
          </w:p>
        </w:tc>
        <w:tc>
          <w:tcPr>
            <w:tcW w:w="948" w:type="dxa"/>
          </w:tcPr>
          <w:p>
            <w:pPr>
              <w:pStyle w:val="TableParagraph"/>
              <w:spacing w:before="47"/>
              <w:ind w:left="312"/>
              <w:jc w:val="left"/>
              <w:rPr>
                <w:sz w:val="18"/>
              </w:rPr>
            </w:pPr>
            <w:r>
              <w:rPr>
                <w:spacing w:val="-4"/>
                <w:sz w:val="18"/>
              </w:rPr>
              <w:t>5.88</w:t>
            </w:r>
          </w:p>
        </w:tc>
        <w:tc>
          <w:tcPr>
            <w:tcW w:w="948" w:type="dxa"/>
          </w:tcPr>
          <w:p>
            <w:pPr>
              <w:pStyle w:val="TableParagraph"/>
              <w:spacing w:before="47"/>
              <w:ind w:left="199" w:right="192"/>
              <w:rPr>
                <w:sz w:val="18"/>
              </w:rPr>
            </w:pPr>
            <w:r>
              <w:rPr>
                <w:spacing w:val="-4"/>
                <w:sz w:val="18"/>
              </w:rPr>
              <w:t>2.79</w:t>
            </w:r>
          </w:p>
        </w:tc>
        <w:tc>
          <w:tcPr>
            <w:tcW w:w="948" w:type="dxa"/>
          </w:tcPr>
          <w:p>
            <w:pPr>
              <w:pStyle w:val="TableParagraph"/>
              <w:spacing w:before="47"/>
              <w:ind w:right="373"/>
              <w:jc w:val="right"/>
              <w:rPr>
                <w:b/>
                <w:sz w:val="18"/>
              </w:rPr>
            </w:pPr>
            <w:r>
              <w:rPr>
                <w:b/>
                <w:spacing w:val="-5"/>
                <w:sz w:val="18"/>
              </w:rPr>
              <w:t>94</w:t>
            </w:r>
          </w:p>
        </w:tc>
        <w:tc>
          <w:tcPr>
            <w:tcW w:w="948" w:type="dxa"/>
            <w:tcBorders>
              <w:right w:val="single" w:sz="6" w:space="0" w:color="000000"/>
            </w:tcBorders>
          </w:tcPr>
          <w:p>
            <w:pPr>
              <w:pStyle w:val="TableParagraph"/>
              <w:spacing w:before="47"/>
              <w:ind w:left="205" w:right="197"/>
              <w:rPr>
                <w:sz w:val="18"/>
              </w:rPr>
            </w:pPr>
            <w:r>
              <w:rPr>
                <w:spacing w:val="-2"/>
                <w:sz w:val="18"/>
              </w:rPr>
              <w:t>199.59</w:t>
            </w:r>
          </w:p>
        </w:tc>
        <w:tc>
          <w:tcPr>
            <w:tcW w:w="943" w:type="dxa"/>
            <w:tcBorders>
              <w:left w:val="single" w:sz="6" w:space="0" w:color="000000"/>
            </w:tcBorders>
          </w:tcPr>
          <w:p>
            <w:pPr>
              <w:pStyle w:val="TableParagraph"/>
              <w:spacing w:before="47"/>
              <w:ind w:left="217"/>
              <w:jc w:val="left"/>
              <w:rPr>
                <w:sz w:val="18"/>
              </w:rPr>
            </w:pPr>
            <w:r>
              <w:rPr>
                <w:spacing w:val="-2"/>
                <w:sz w:val="18"/>
              </w:rPr>
              <w:t>151.86</w:t>
            </w:r>
          </w:p>
        </w:tc>
      </w:tr>
      <w:tr>
        <w:trPr>
          <w:trHeight w:val="311" w:hRule="atLeast"/>
        </w:trPr>
        <w:tc>
          <w:tcPr>
            <w:tcW w:w="946" w:type="dxa"/>
          </w:tcPr>
          <w:p>
            <w:pPr>
              <w:pStyle w:val="TableParagraph"/>
              <w:ind w:left="275" w:right="266"/>
              <w:rPr>
                <w:b/>
                <w:sz w:val="18"/>
              </w:rPr>
            </w:pPr>
            <w:r>
              <w:rPr>
                <w:b/>
                <w:spacing w:val="-5"/>
                <w:sz w:val="18"/>
              </w:rPr>
              <w:t>25</w:t>
            </w:r>
          </w:p>
        </w:tc>
        <w:tc>
          <w:tcPr>
            <w:tcW w:w="946" w:type="dxa"/>
          </w:tcPr>
          <w:p>
            <w:pPr>
              <w:pStyle w:val="TableParagraph"/>
              <w:ind w:left="276" w:right="266"/>
              <w:rPr>
                <w:sz w:val="18"/>
              </w:rPr>
            </w:pPr>
            <w:r>
              <w:rPr>
                <w:spacing w:val="-4"/>
                <w:sz w:val="18"/>
              </w:rPr>
              <w:t>0.43</w:t>
            </w:r>
          </w:p>
        </w:tc>
        <w:tc>
          <w:tcPr>
            <w:tcW w:w="949" w:type="dxa"/>
          </w:tcPr>
          <w:p>
            <w:pPr>
              <w:pStyle w:val="TableParagraph"/>
              <w:ind w:left="313"/>
              <w:jc w:val="left"/>
              <w:rPr>
                <w:sz w:val="18"/>
              </w:rPr>
            </w:pPr>
            <w:r>
              <w:rPr>
                <w:spacing w:val="-4"/>
                <w:sz w:val="18"/>
              </w:rPr>
              <w:t>0.21</w:t>
            </w:r>
          </w:p>
        </w:tc>
        <w:tc>
          <w:tcPr>
            <w:tcW w:w="948" w:type="dxa"/>
          </w:tcPr>
          <w:p>
            <w:pPr>
              <w:pStyle w:val="TableParagraph"/>
              <w:ind w:left="382"/>
              <w:jc w:val="left"/>
              <w:rPr>
                <w:b/>
                <w:sz w:val="18"/>
              </w:rPr>
            </w:pPr>
            <w:r>
              <w:rPr>
                <w:b/>
                <w:spacing w:val="-5"/>
                <w:sz w:val="18"/>
              </w:rPr>
              <w:t>60</w:t>
            </w:r>
          </w:p>
        </w:tc>
        <w:tc>
          <w:tcPr>
            <w:tcW w:w="948" w:type="dxa"/>
          </w:tcPr>
          <w:p>
            <w:pPr>
              <w:pStyle w:val="TableParagraph"/>
              <w:ind w:left="312"/>
              <w:jc w:val="left"/>
              <w:rPr>
                <w:sz w:val="18"/>
              </w:rPr>
            </w:pPr>
            <w:r>
              <w:rPr>
                <w:spacing w:val="-4"/>
                <w:sz w:val="18"/>
              </w:rPr>
              <w:t>6.41</w:t>
            </w:r>
          </w:p>
        </w:tc>
        <w:tc>
          <w:tcPr>
            <w:tcW w:w="948" w:type="dxa"/>
          </w:tcPr>
          <w:p>
            <w:pPr>
              <w:pStyle w:val="TableParagraph"/>
              <w:ind w:left="199" w:right="192"/>
              <w:rPr>
                <w:sz w:val="18"/>
              </w:rPr>
            </w:pPr>
            <w:r>
              <w:rPr>
                <w:spacing w:val="-4"/>
                <w:sz w:val="18"/>
              </w:rPr>
              <w:t>3.09</w:t>
            </w:r>
          </w:p>
        </w:tc>
        <w:tc>
          <w:tcPr>
            <w:tcW w:w="948" w:type="dxa"/>
          </w:tcPr>
          <w:p>
            <w:pPr>
              <w:pStyle w:val="TableParagraph"/>
              <w:ind w:right="373"/>
              <w:jc w:val="right"/>
              <w:rPr>
                <w:b/>
                <w:sz w:val="18"/>
              </w:rPr>
            </w:pPr>
            <w:r>
              <w:rPr>
                <w:b/>
                <w:spacing w:val="-5"/>
                <w:sz w:val="18"/>
              </w:rPr>
              <w:t>95</w:t>
            </w:r>
          </w:p>
        </w:tc>
        <w:tc>
          <w:tcPr>
            <w:tcW w:w="948" w:type="dxa"/>
            <w:tcBorders>
              <w:right w:val="single" w:sz="6" w:space="0" w:color="000000"/>
            </w:tcBorders>
          </w:tcPr>
          <w:p>
            <w:pPr>
              <w:pStyle w:val="TableParagraph"/>
              <w:ind w:left="205" w:right="197"/>
              <w:rPr>
                <w:sz w:val="18"/>
              </w:rPr>
            </w:pPr>
            <w:r>
              <w:rPr>
                <w:spacing w:val="-2"/>
                <w:sz w:val="18"/>
              </w:rPr>
              <w:t>216.41</w:t>
            </w:r>
          </w:p>
        </w:tc>
        <w:tc>
          <w:tcPr>
            <w:tcW w:w="943" w:type="dxa"/>
            <w:tcBorders>
              <w:left w:val="single" w:sz="6" w:space="0" w:color="000000"/>
            </w:tcBorders>
          </w:tcPr>
          <w:p>
            <w:pPr>
              <w:pStyle w:val="TableParagraph"/>
              <w:ind w:left="217"/>
              <w:jc w:val="left"/>
              <w:rPr>
                <w:sz w:val="18"/>
              </w:rPr>
            </w:pPr>
            <w:r>
              <w:rPr>
                <w:spacing w:val="-2"/>
                <w:sz w:val="18"/>
              </w:rPr>
              <w:t>163.82</w:t>
            </w:r>
          </w:p>
        </w:tc>
      </w:tr>
      <w:tr>
        <w:trPr>
          <w:trHeight w:val="311" w:hRule="atLeast"/>
        </w:trPr>
        <w:tc>
          <w:tcPr>
            <w:tcW w:w="946" w:type="dxa"/>
          </w:tcPr>
          <w:p>
            <w:pPr>
              <w:pStyle w:val="TableParagraph"/>
              <w:ind w:left="270" w:right="266"/>
              <w:rPr>
                <w:b/>
                <w:sz w:val="18"/>
              </w:rPr>
            </w:pPr>
            <w:r>
              <w:rPr>
                <w:b/>
                <w:spacing w:val="-5"/>
                <w:sz w:val="18"/>
              </w:rPr>
              <w:t>26</w:t>
            </w:r>
          </w:p>
        </w:tc>
        <w:tc>
          <w:tcPr>
            <w:tcW w:w="946" w:type="dxa"/>
          </w:tcPr>
          <w:p>
            <w:pPr>
              <w:pStyle w:val="TableParagraph"/>
              <w:ind w:left="276" w:right="266"/>
              <w:rPr>
                <w:sz w:val="18"/>
              </w:rPr>
            </w:pPr>
            <w:r>
              <w:rPr>
                <w:spacing w:val="-4"/>
                <w:sz w:val="18"/>
              </w:rPr>
              <w:t>0.45</w:t>
            </w:r>
          </w:p>
        </w:tc>
        <w:tc>
          <w:tcPr>
            <w:tcW w:w="949" w:type="dxa"/>
          </w:tcPr>
          <w:p>
            <w:pPr>
              <w:pStyle w:val="TableParagraph"/>
              <w:ind w:left="313"/>
              <w:jc w:val="left"/>
              <w:rPr>
                <w:sz w:val="18"/>
              </w:rPr>
            </w:pPr>
            <w:r>
              <w:rPr>
                <w:spacing w:val="-4"/>
                <w:sz w:val="18"/>
              </w:rPr>
              <w:t>0.21</w:t>
            </w:r>
          </w:p>
        </w:tc>
        <w:tc>
          <w:tcPr>
            <w:tcW w:w="948" w:type="dxa"/>
          </w:tcPr>
          <w:p>
            <w:pPr>
              <w:pStyle w:val="TableParagraph"/>
              <w:ind w:left="382"/>
              <w:jc w:val="left"/>
              <w:rPr>
                <w:b/>
                <w:sz w:val="18"/>
              </w:rPr>
            </w:pPr>
            <w:r>
              <w:rPr>
                <w:b/>
                <w:spacing w:val="-5"/>
                <w:sz w:val="18"/>
              </w:rPr>
              <w:t>61</w:t>
            </w:r>
          </w:p>
        </w:tc>
        <w:tc>
          <w:tcPr>
            <w:tcW w:w="948" w:type="dxa"/>
          </w:tcPr>
          <w:p>
            <w:pPr>
              <w:pStyle w:val="TableParagraph"/>
              <w:ind w:left="312"/>
              <w:jc w:val="left"/>
              <w:rPr>
                <w:sz w:val="18"/>
              </w:rPr>
            </w:pPr>
            <w:r>
              <w:rPr>
                <w:spacing w:val="-4"/>
                <w:sz w:val="18"/>
              </w:rPr>
              <w:t>7.05</w:t>
            </w:r>
          </w:p>
        </w:tc>
        <w:tc>
          <w:tcPr>
            <w:tcW w:w="948" w:type="dxa"/>
          </w:tcPr>
          <w:p>
            <w:pPr>
              <w:pStyle w:val="TableParagraph"/>
              <w:ind w:left="199" w:right="192"/>
              <w:rPr>
                <w:sz w:val="18"/>
              </w:rPr>
            </w:pPr>
            <w:r>
              <w:rPr>
                <w:spacing w:val="-4"/>
                <w:sz w:val="18"/>
              </w:rPr>
              <w:t>3.45</w:t>
            </w:r>
          </w:p>
        </w:tc>
        <w:tc>
          <w:tcPr>
            <w:tcW w:w="948" w:type="dxa"/>
          </w:tcPr>
          <w:p>
            <w:pPr>
              <w:pStyle w:val="TableParagraph"/>
              <w:ind w:right="373"/>
              <w:jc w:val="right"/>
              <w:rPr>
                <w:b/>
                <w:sz w:val="18"/>
              </w:rPr>
            </w:pPr>
            <w:r>
              <w:rPr>
                <w:b/>
                <w:spacing w:val="-5"/>
                <w:sz w:val="18"/>
              </w:rPr>
              <w:t>96</w:t>
            </w:r>
          </w:p>
        </w:tc>
        <w:tc>
          <w:tcPr>
            <w:tcW w:w="948" w:type="dxa"/>
            <w:tcBorders>
              <w:right w:val="single" w:sz="6" w:space="0" w:color="000000"/>
            </w:tcBorders>
          </w:tcPr>
          <w:p>
            <w:pPr>
              <w:pStyle w:val="TableParagraph"/>
              <w:ind w:left="203" w:right="198"/>
              <w:rPr>
                <w:sz w:val="18"/>
              </w:rPr>
            </w:pPr>
            <w:r>
              <w:rPr>
                <w:spacing w:val="-2"/>
                <w:sz w:val="18"/>
              </w:rPr>
              <w:t>234.17</w:t>
            </w:r>
          </w:p>
        </w:tc>
        <w:tc>
          <w:tcPr>
            <w:tcW w:w="943" w:type="dxa"/>
            <w:tcBorders>
              <w:left w:val="single" w:sz="6" w:space="0" w:color="000000"/>
            </w:tcBorders>
          </w:tcPr>
          <w:p>
            <w:pPr>
              <w:pStyle w:val="TableParagraph"/>
              <w:ind w:left="220"/>
              <w:jc w:val="left"/>
              <w:rPr>
                <w:sz w:val="18"/>
              </w:rPr>
            </w:pPr>
            <w:r>
              <w:rPr>
                <w:spacing w:val="-2"/>
                <w:sz w:val="18"/>
              </w:rPr>
              <w:t>176.87</w:t>
            </w:r>
          </w:p>
        </w:tc>
      </w:tr>
      <w:tr>
        <w:trPr>
          <w:trHeight w:val="311" w:hRule="atLeast"/>
        </w:trPr>
        <w:tc>
          <w:tcPr>
            <w:tcW w:w="946" w:type="dxa"/>
          </w:tcPr>
          <w:p>
            <w:pPr>
              <w:pStyle w:val="TableParagraph"/>
              <w:ind w:left="270" w:right="266"/>
              <w:rPr>
                <w:b/>
                <w:sz w:val="18"/>
              </w:rPr>
            </w:pPr>
            <w:r>
              <w:rPr>
                <w:b/>
                <w:spacing w:val="-5"/>
                <w:sz w:val="18"/>
              </w:rPr>
              <w:t>27</w:t>
            </w:r>
          </w:p>
        </w:tc>
        <w:tc>
          <w:tcPr>
            <w:tcW w:w="946" w:type="dxa"/>
          </w:tcPr>
          <w:p>
            <w:pPr>
              <w:pStyle w:val="TableParagraph"/>
              <w:ind w:left="276" w:right="266"/>
              <w:rPr>
                <w:sz w:val="18"/>
              </w:rPr>
            </w:pPr>
            <w:r>
              <w:rPr>
                <w:spacing w:val="-4"/>
                <w:sz w:val="18"/>
              </w:rPr>
              <w:t>0.47</w:t>
            </w:r>
          </w:p>
        </w:tc>
        <w:tc>
          <w:tcPr>
            <w:tcW w:w="949" w:type="dxa"/>
          </w:tcPr>
          <w:p>
            <w:pPr>
              <w:pStyle w:val="TableParagraph"/>
              <w:ind w:left="313"/>
              <w:jc w:val="left"/>
              <w:rPr>
                <w:sz w:val="18"/>
              </w:rPr>
            </w:pPr>
            <w:r>
              <w:rPr>
                <w:spacing w:val="-4"/>
                <w:sz w:val="18"/>
              </w:rPr>
              <w:t>0.21</w:t>
            </w:r>
          </w:p>
        </w:tc>
        <w:tc>
          <w:tcPr>
            <w:tcW w:w="948" w:type="dxa"/>
          </w:tcPr>
          <w:p>
            <w:pPr>
              <w:pStyle w:val="TableParagraph"/>
              <w:ind w:left="380"/>
              <w:jc w:val="left"/>
              <w:rPr>
                <w:b/>
                <w:sz w:val="18"/>
              </w:rPr>
            </w:pPr>
            <w:r>
              <w:rPr>
                <w:b/>
                <w:spacing w:val="-5"/>
                <w:sz w:val="18"/>
              </w:rPr>
              <w:t>62</w:t>
            </w:r>
          </w:p>
        </w:tc>
        <w:tc>
          <w:tcPr>
            <w:tcW w:w="948" w:type="dxa"/>
          </w:tcPr>
          <w:p>
            <w:pPr>
              <w:pStyle w:val="TableParagraph"/>
              <w:ind w:left="312"/>
              <w:jc w:val="left"/>
              <w:rPr>
                <w:sz w:val="18"/>
              </w:rPr>
            </w:pPr>
            <w:r>
              <w:rPr>
                <w:spacing w:val="-4"/>
                <w:sz w:val="18"/>
              </w:rPr>
              <w:t>7.79</w:t>
            </w:r>
          </w:p>
        </w:tc>
        <w:tc>
          <w:tcPr>
            <w:tcW w:w="948" w:type="dxa"/>
          </w:tcPr>
          <w:p>
            <w:pPr>
              <w:pStyle w:val="TableParagraph"/>
              <w:ind w:left="199" w:right="194"/>
              <w:rPr>
                <w:sz w:val="18"/>
              </w:rPr>
            </w:pPr>
            <w:r>
              <w:rPr>
                <w:spacing w:val="-4"/>
                <w:sz w:val="18"/>
              </w:rPr>
              <w:t>3.87</w:t>
            </w:r>
          </w:p>
        </w:tc>
        <w:tc>
          <w:tcPr>
            <w:tcW w:w="948" w:type="dxa"/>
          </w:tcPr>
          <w:p>
            <w:pPr>
              <w:pStyle w:val="TableParagraph"/>
              <w:ind w:right="375"/>
              <w:jc w:val="right"/>
              <w:rPr>
                <w:b/>
                <w:sz w:val="18"/>
              </w:rPr>
            </w:pPr>
            <w:r>
              <w:rPr>
                <w:b/>
                <w:spacing w:val="-5"/>
                <w:sz w:val="18"/>
              </w:rPr>
              <w:t>97</w:t>
            </w:r>
          </w:p>
        </w:tc>
        <w:tc>
          <w:tcPr>
            <w:tcW w:w="948" w:type="dxa"/>
            <w:tcBorders>
              <w:right w:val="single" w:sz="6" w:space="0" w:color="000000"/>
            </w:tcBorders>
          </w:tcPr>
          <w:p>
            <w:pPr>
              <w:pStyle w:val="TableParagraph"/>
              <w:ind w:left="205" w:right="198"/>
              <w:rPr>
                <w:sz w:val="18"/>
              </w:rPr>
            </w:pPr>
            <w:r>
              <w:rPr>
                <w:spacing w:val="-2"/>
                <w:sz w:val="18"/>
              </w:rPr>
              <w:t>252.77</w:t>
            </w:r>
          </w:p>
        </w:tc>
        <w:tc>
          <w:tcPr>
            <w:tcW w:w="943" w:type="dxa"/>
            <w:tcBorders>
              <w:left w:val="single" w:sz="6" w:space="0" w:color="000000"/>
            </w:tcBorders>
          </w:tcPr>
          <w:p>
            <w:pPr>
              <w:pStyle w:val="TableParagraph"/>
              <w:ind w:left="217"/>
              <w:jc w:val="left"/>
              <w:rPr>
                <w:sz w:val="18"/>
              </w:rPr>
            </w:pPr>
            <w:r>
              <w:rPr>
                <w:spacing w:val="-2"/>
                <w:sz w:val="18"/>
              </w:rPr>
              <w:t>191.18</w:t>
            </w:r>
          </w:p>
        </w:tc>
      </w:tr>
      <w:tr>
        <w:trPr>
          <w:trHeight w:val="311" w:hRule="atLeast"/>
        </w:trPr>
        <w:tc>
          <w:tcPr>
            <w:tcW w:w="946" w:type="dxa"/>
          </w:tcPr>
          <w:p>
            <w:pPr>
              <w:pStyle w:val="TableParagraph"/>
              <w:ind w:left="275" w:right="266"/>
              <w:rPr>
                <w:b/>
                <w:sz w:val="18"/>
              </w:rPr>
            </w:pPr>
            <w:r>
              <w:rPr>
                <w:b/>
                <w:spacing w:val="-5"/>
                <w:sz w:val="18"/>
              </w:rPr>
              <w:t>28</w:t>
            </w:r>
          </w:p>
        </w:tc>
        <w:tc>
          <w:tcPr>
            <w:tcW w:w="946" w:type="dxa"/>
          </w:tcPr>
          <w:p>
            <w:pPr>
              <w:pStyle w:val="TableParagraph"/>
              <w:ind w:left="276" w:right="266"/>
              <w:rPr>
                <w:sz w:val="18"/>
              </w:rPr>
            </w:pPr>
            <w:r>
              <w:rPr>
                <w:spacing w:val="-4"/>
                <w:sz w:val="18"/>
              </w:rPr>
              <w:t>0.50</w:t>
            </w:r>
          </w:p>
        </w:tc>
        <w:tc>
          <w:tcPr>
            <w:tcW w:w="949" w:type="dxa"/>
          </w:tcPr>
          <w:p>
            <w:pPr>
              <w:pStyle w:val="TableParagraph"/>
              <w:ind w:left="313"/>
              <w:jc w:val="left"/>
              <w:rPr>
                <w:sz w:val="18"/>
              </w:rPr>
            </w:pPr>
            <w:r>
              <w:rPr>
                <w:spacing w:val="-4"/>
                <w:sz w:val="18"/>
              </w:rPr>
              <w:t>0.22</w:t>
            </w:r>
          </w:p>
        </w:tc>
        <w:tc>
          <w:tcPr>
            <w:tcW w:w="948" w:type="dxa"/>
          </w:tcPr>
          <w:p>
            <w:pPr>
              <w:pStyle w:val="TableParagraph"/>
              <w:ind w:left="380"/>
              <w:jc w:val="left"/>
              <w:rPr>
                <w:b/>
                <w:sz w:val="18"/>
              </w:rPr>
            </w:pPr>
            <w:r>
              <w:rPr>
                <w:b/>
                <w:spacing w:val="-5"/>
                <w:sz w:val="18"/>
              </w:rPr>
              <w:t>63</w:t>
            </w:r>
          </w:p>
        </w:tc>
        <w:tc>
          <w:tcPr>
            <w:tcW w:w="948" w:type="dxa"/>
          </w:tcPr>
          <w:p>
            <w:pPr>
              <w:pStyle w:val="TableParagraph"/>
              <w:ind w:left="312"/>
              <w:jc w:val="left"/>
              <w:rPr>
                <w:sz w:val="18"/>
              </w:rPr>
            </w:pPr>
            <w:r>
              <w:rPr>
                <w:spacing w:val="-4"/>
                <w:sz w:val="18"/>
              </w:rPr>
              <w:t>8.65</w:t>
            </w:r>
          </w:p>
        </w:tc>
        <w:tc>
          <w:tcPr>
            <w:tcW w:w="948" w:type="dxa"/>
          </w:tcPr>
          <w:p>
            <w:pPr>
              <w:pStyle w:val="TableParagraph"/>
              <w:ind w:left="199" w:right="192"/>
              <w:rPr>
                <w:sz w:val="18"/>
              </w:rPr>
            </w:pPr>
            <w:r>
              <w:rPr>
                <w:spacing w:val="-4"/>
                <w:sz w:val="18"/>
              </w:rPr>
              <w:t>4.37</w:t>
            </w:r>
          </w:p>
        </w:tc>
        <w:tc>
          <w:tcPr>
            <w:tcW w:w="948" w:type="dxa"/>
          </w:tcPr>
          <w:p>
            <w:pPr>
              <w:pStyle w:val="TableParagraph"/>
              <w:ind w:right="373"/>
              <w:jc w:val="right"/>
              <w:rPr>
                <w:b/>
                <w:sz w:val="18"/>
              </w:rPr>
            </w:pPr>
            <w:r>
              <w:rPr>
                <w:b/>
                <w:spacing w:val="-5"/>
                <w:sz w:val="18"/>
              </w:rPr>
              <w:t>98</w:t>
            </w:r>
          </w:p>
        </w:tc>
        <w:tc>
          <w:tcPr>
            <w:tcW w:w="948" w:type="dxa"/>
            <w:tcBorders>
              <w:right w:val="single" w:sz="6" w:space="0" w:color="000000"/>
            </w:tcBorders>
          </w:tcPr>
          <w:p>
            <w:pPr>
              <w:pStyle w:val="TableParagraph"/>
              <w:ind w:left="203" w:right="198"/>
              <w:rPr>
                <w:sz w:val="18"/>
              </w:rPr>
            </w:pPr>
            <w:r>
              <w:rPr>
                <w:spacing w:val="-2"/>
                <w:sz w:val="18"/>
              </w:rPr>
              <w:t>272.11</w:t>
            </w:r>
          </w:p>
        </w:tc>
        <w:tc>
          <w:tcPr>
            <w:tcW w:w="943" w:type="dxa"/>
            <w:tcBorders>
              <w:left w:val="single" w:sz="6" w:space="0" w:color="000000"/>
            </w:tcBorders>
          </w:tcPr>
          <w:p>
            <w:pPr>
              <w:pStyle w:val="TableParagraph"/>
              <w:ind w:left="217"/>
              <w:jc w:val="left"/>
              <w:rPr>
                <w:sz w:val="18"/>
              </w:rPr>
            </w:pPr>
            <w:r>
              <w:rPr>
                <w:spacing w:val="-2"/>
                <w:sz w:val="18"/>
              </w:rPr>
              <w:t>206.83</w:t>
            </w:r>
          </w:p>
        </w:tc>
      </w:tr>
      <w:tr>
        <w:trPr>
          <w:trHeight w:val="311" w:hRule="atLeast"/>
        </w:trPr>
        <w:tc>
          <w:tcPr>
            <w:tcW w:w="946" w:type="dxa"/>
          </w:tcPr>
          <w:p>
            <w:pPr>
              <w:pStyle w:val="TableParagraph"/>
              <w:ind w:left="275" w:right="266"/>
              <w:rPr>
                <w:b/>
                <w:sz w:val="18"/>
              </w:rPr>
            </w:pPr>
            <w:r>
              <w:rPr>
                <w:b/>
                <w:spacing w:val="-5"/>
                <w:sz w:val="18"/>
              </w:rPr>
              <w:t>29</w:t>
            </w:r>
          </w:p>
        </w:tc>
        <w:tc>
          <w:tcPr>
            <w:tcW w:w="946" w:type="dxa"/>
          </w:tcPr>
          <w:p>
            <w:pPr>
              <w:pStyle w:val="TableParagraph"/>
              <w:ind w:left="276" w:right="266"/>
              <w:rPr>
                <w:sz w:val="18"/>
              </w:rPr>
            </w:pPr>
            <w:r>
              <w:rPr>
                <w:spacing w:val="-4"/>
                <w:sz w:val="18"/>
              </w:rPr>
              <w:t>0.53</w:t>
            </w:r>
          </w:p>
        </w:tc>
        <w:tc>
          <w:tcPr>
            <w:tcW w:w="949" w:type="dxa"/>
          </w:tcPr>
          <w:p>
            <w:pPr>
              <w:pStyle w:val="TableParagraph"/>
              <w:ind w:left="313"/>
              <w:jc w:val="left"/>
              <w:rPr>
                <w:sz w:val="18"/>
              </w:rPr>
            </w:pPr>
            <w:r>
              <w:rPr>
                <w:spacing w:val="-4"/>
                <w:sz w:val="18"/>
              </w:rPr>
              <w:t>0.23</w:t>
            </w:r>
          </w:p>
        </w:tc>
        <w:tc>
          <w:tcPr>
            <w:tcW w:w="948" w:type="dxa"/>
          </w:tcPr>
          <w:p>
            <w:pPr>
              <w:pStyle w:val="TableParagraph"/>
              <w:ind w:left="380"/>
              <w:jc w:val="left"/>
              <w:rPr>
                <w:b/>
                <w:sz w:val="18"/>
              </w:rPr>
            </w:pPr>
            <w:r>
              <w:rPr>
                <w:b/>
                <w:spacing w:val="-5"/>
                <w:sz w:val="18"/>
              </w:rPr>
              <w:t>64</w:t>
            </w:r>
          </w:p>
        </w:tc>
        <w:tc>
          <w:tcPr>
            <w:tcW w:w="948" w:type="dxa"/>
          </w:tcPr>
          <w:p>
            <w:pPr>
              <w:pStyle w:val="TableParagraph"/>
              <w:ind w:left="312"/>
              <w:jc w:val="left"/>
              <w:rPr>
                <w:sz w:val="18"/>
              </w:rPr>
            </w:pPr>
            <w:r>
              <w:rPr>
                <w:spacing w:val="-4"/>
                <w:sz w:val="18"/>
              </w:rPr>
              <w:t>9.64</w:t>
            </w:r>
          </w:p>
        </w:tc>
        <w:tc>
          <w:tcPr>
            <w:tcW w:w="948" w:type="dxa"/>
          </w:tcPr>
          <w:p>
            <w:pPr>
              <w:pStyle w:val="TableParagraph"/>
              <w:ind w:left="199" w:right="192"/>
              <w:rPr>
                <w:sz w:val="18"/>
              </w:rPr>
            </w:pPr>
            <w:r>
              <w:rPr>
                <w:spacing w:val="-4"/>
                <w:sz w:val="18"/>
              </w:rPr>
              <w:t>4.95</w:t>
            </w:r>
          </w:p>
        </w:tc>
        <w:tc>
          <w:tcPr>
            <w:tcW w:w="948" w:type="dxa"/>
          </w:tcPr>
          <w:p>
            <w:pPr>
              <w:pStyle w:val="TableParagraph"/>
              <w:ind w:right="373"/>
              <w:jc w:val="right"/>
              <w:rPr>
                <w:b/>
                <w:sz w:val="18"/>
              </w:rPr>
            </w:pPr>
            <w:r>
              <w:rPr>
                <w:b/>
                <w:spacing w:val="-5"/>
                <w:sz w:val="18"/>
              </w:rPr>
              <w:t>99</w:t>
            </w:r>
          </w:p>
        </w:tc>
        <w:tc>
          <w:tcPr>
            <w:tcW w:w="948" w:type="dxa"/>
            <w:tcBorders>
              <w:right w:val="single" w:sz="6" w:space="0" w:color="000000"/>
            </w:tcBorders>
          </w:tcPr>
          <w:p>
            <w:pPr>
              <w:pStyle w:val="TableParagraph"/>
              <w:ind w:left="203" w:right="198"/>
              <w:rPr>
                <w:sz w:val="18"/>
              </w:rPr>
            </w:pPr>
            <w:r>
              <w:rPr>
                <w:spacing w:val="-2"/>
                <w:sz w:val="18"/>
              </w:rPr>
              <w:t>292.08</w:t>
            </w:r>
          </w:p>
        </w:tc>
        <w:tc>
          <w:tcPr>
            <w:tcW w:w="943" w:type="dxa"/>
            <w:tcBorders>
              <w:left w:val="single" w:sz="6" w:space="0" w:color="000000"/>
            </w:tcBorders>
          </w:tcPr>
          <w:p>
            <w:pPr>
              <w:pStyle w:val="TableParagraph"/>
              <w:ind w:left="217"/>
              <w:jc w:val="left"/>
              <w:rPr>
                <w:sz w:val="18"/>
              </w:rPr>
            </w:pPr>
            <w:r>
              <w:rPr>
                <w:spacing w:val="-2"/>
                <w:sz w:val="18"/>
              </w:rPr>
              <w:t>223.86</w:t>
            </w:r>
          </w:p>
        </w:tc>
      </w:tr>
      <w:tr>
        <w:trPr>
          <w:trHeight w:val="313" w:hRule="atLeast"/>
        </w:trPr>
        <w:tc>
          <w:tcPr>
            <w:tcW w:w="946" w:type="dxa"/>
          </w:tcPr>
          <w:p>
            <w:pPr>
              <w:pStyle w:val="TableParagraph"/>
              <w:spacing w:before="47"/>
              <w:ind w:left="275" w:right="266"/>
              <w:rPr>
                <w:b/>
                <w:sz w:val="18"/>
              </w:rPr>
            </w:pPr>
            <w:r>
              <w:rPr>
                <w:b/>
                <w:spacing w:val="-5"/>
                <w:sz w:val="18"/>
              </w:rPr>
              <w:t>30</w:t>
            </w:r>
          </w:p>
        </w:tc>
        <w:tc>
          <w:tcPr>
            <w:tcW w:w="946" w:type="dxa"/>
          </w:tcPr>
          <w:p>
            <w:pPr>
              <w:pStyle w:val="TableParagraph"/>
              <w:spacing w:before="47"/>
              <w:ind w:left="276" w:right="266"/>
              <w:rPr>
                <w:sz w:val="18"/>
              </w:rPr>
            </w:pPr>
            <w:r>
              <w:rPr>
                <w:spacing w:val="-4"/>
                <w:sz w:val="18"/>
              </w:rPr>
              <w:t>0.56</w:t>
            </w:r>
          </w:p>
        </w:tc>
        <w:tc>
          <w:tcPr>
            <w:tcW w:w="949" w:type="dxa"/>
          </w:tcPr>
          <w:p>
            <w:pPr>
              <w:pStyle w:val="TableParagraph"/>
              <w:spacing w:before="47"/>
              <w:ind w:left="313"/>
              <w:jc w:val="left"/>
              <w:rPr>
                <w:sz w:val="18"/>
              </w:rPr>
            </w:pPr>
            <w:r>
              <w:rPr>
                <w:spacing w:val="-4"/>
                <w:sz w:val="18"/>
              </w:rPr>
              <w:t>0.24</w:t>
            </w:r>
          </w:p>
        </w:tc>
        <w:tc>
          <w:tcPr>
            <w:tcW w:w="948" w:type="dxa"/>
          </w:tcPr>
          <w:p>
            <w:pPr>
              <w:pStyle w:val="TableParagraph"/>
              <w:spacing w:before="47"/>
              <w:ind w:left="380"/>
              <w:jc w:val="left"/>
              <w:rPr>
                <w:b/>
                <w:sz w:val="18"/>
              </w:rPr>
            </w:pPr>
            <w:r>
              <w:rPr>
                <w:b/>
                <w:spacing w:val="-5"/>
                <w:sz w:val="18"/>
              </w:rPr>
              <w:t>65</w:t>
            </w:r>
          </w:p>
        </w:tc>
        <w:tc>
          <w:tcPr>
            <w:tcW w:w="948" w:type="dxa"/>
          </w:tcPr>
          <w:p>
            <w:pPr>
              <w:pStyle w:val="TableParagraph"/>
              <w:spacing w:before="47"/>
              <w:ind w:left="264"/>
              <w:jc w:val="left"/>
              <w:rPr>
                <w:sz w:val="18"/>
              </w:rPr>
            </w:pPr>
            <w:r>
              <w:rPr>
                <w:spacing w:val="-2"/>
                <w:sz w:val="18"/>
              </w:rPr>
              <w:t>10.77</w:t>
            </w:r>
          </w:p>
        </w:tc>
        <w:tc>
          <w:tcPr>
            <w:tcW w:w="948" w:type="dxa"/>
          </w:tcPr>
          <w:p>
            <w:pPr>
              <w:pStyle w:val="TableParagraph"/>
              <w:spacing w:before="47"/>
              <w:ind w:left="199" w:right="192"/>
              <w:rPr>
                <w:sz w:val="18"/>
              </w:rPr>
            </w:pPr>
            <w:r>
              <w:rPr>
                <w:spacing w:val="-4"/>
                <w:sz w:val="18"/>
              </w:rPr>
              <w:t>5.63</w:t>
            </w:r>
          </w:p>
        </w:tc>
        <w:tc>
          <w:tcPr>
            <w:tcW w:w="948" w:type="dxa"/>
          </w:tcPr>
          <w:p>
            <w:pPr>
              <w:pStyle w:val="TableParagraph"/>
              <w:spacing w:before="47"/>
              <w:ind w:right="327"/>
              <w:jc w:val="right"/>
              <w:rPr>
                <w:b/>
                <w:sz w:val="18"/>
              </w:rPr>
            </w:pPr>
            <w:r>
              <w:rPr>
                <w:b/>
                <w:spacing w:val="-5"/>
                <w:sz w:val="18"/>
              </w:rPr>
              <w:t>100</w:t>
            </w:r>
          </w:p>
        </w:tc>
        <w:tc>
          <w:tcPr>
            <w:tcW w:w="948" w:type="dxa"/>
            <w:tcBorders>
              <w:right w:val="single" w:sz="6" w:space="0" w:color="000000"/>
            </w:tcBorders>
          </w:tcPr>
          <w:p>
            <w:pPr>
              <w:pStyle w:val="TableParagraph"/>
              <w:spacing w:before="47"/>
              <w:ind w:left="205" w:right="197"/>
              <w:rPr>
                <w:sz w:val="18"/>
              </w:rPr>
            </w:pPr>
            <w:r>
              <w:rPr>
                <w:spacing w:val="-2"/>
                <w:sz w:val="18"/>
              </w:rPr>
              <w:t>312.58</w:t>
            </w:r>
          </w:p>
        </w:tc>
        <w:tc>
          <w:tcPr>
            <w:tcW w:w="943" w:type="dxa"/>
            <w:tcBorders>
              <w:left w:val="single" w:sz="6" w:space="0" w:color="000000"/>
            </w:tcBorders>
          </w:tcPr>
          <w:p>
            <w:pPr>
              <w:pStyle w:val="TableParagraph"/>
              <w:spacing w:before="47"/>
              <w:ind w:left="217"/>
              <w:jc w:val="left"/>
              <w:rPr>
                <w:sz w:val="18"/>
              </w:rPr>
            </w:pPr>
            <w:r>
              <w:rPr>
                <w:spacing w:val="-2"/>
                <w:sz w:val="18"/>
              </w:rPr>
              <w:t>242.18</w:t>
            </w:r>
          </w:p>
        </w:tc>
      </w:tr>
      <w:tr>
        <w:trPr>
          <w:trHeight w:val="311" w:hRule="atLeast"/>
        </w:trPr>
        <w:tc>
          <w:tcPr>
            <w:tcW w:w="946" w:type="dxa"/>
          </w:tcPr>
          <w:p>
            <w:pPr>
              <w:pStyle w:val="TableParagraph"/>
              <w:ind w:left="275" w:right="266"/>
              <w:rPr>
                <w:b/>
                <w:sz w:val="18"/>
              </w:rPr>
            </w:pPr>
            <w:r>
              <w:rPr>
                <w:b/>
                <w:spacing w:val="-5"/>
                <w:sz w:val="18"/>
              </w:rPr>
              <w:t>31</w:t>
            </w:r>
          </w:p>
        </w:tc>
        <w:tc>
          <w:tcPr>
            <w:tcW w:w="946" w:type="dxa"/>
          </w:tcPr>
          <w:p>
            <w:pPr>
              <w:pStyle w:val="TableParagraph"/>
              <w:ind w:left="276" w:right="266"/>
              <w:rPr>
                <w:sz w:val="18"/>
              </w:rPr>
            </w:pPr>
            <w:r>
              <w:rPr>
                <w:spacing w:val="-4"/>
                <w:sz w:val="18"/>
              </w:rPr>
              <w:t>0.59</w:t>
            </w:r>
          </w:p>
        </w:tc>
        <w:tc>
          <w:tcPr>
            <w:tcW w:w="949" w:type="dxa"/>
          </w:tcPr>
          <w:p>
            <w:pPr>
              <w:pStyle w:val="TableParagraph"/>
              <w:ind w:left="313"/>
              <w:jc w:val="left"/>
              <w:rPr>
                <w:sz w:val="18"/>
              </w:rPr>
            </w:pPr>
            <w:r>
              <w:rPr>
                <w:spacing w:val="-4"/>
                <w:sz w:val="18"/>
              </w:rPr>
              <w:t>0.25</w:t>
            </w:r>
          </w:p>
        </w:tc>
        <w:tc>
          <w:tcPr>
            <w:tcW w:w="948" w:type="dxa"/>
          </w:tcPr>
          <w:p>
            <w:pPr>
              <w:pStyle w:val="TableParagraph"/>
              <w:ind w:left="380"/>
              <w:jc w:val="left"/>
              <w:rPr>
                <w:b/>
                <w:sz w:val="18"/>
              </w:rPr>
            </w:pPr>
            <w:r>
              <w:rPr>
                <w:b/>
                <w:spacing w:val="-5"/>
                <w:sz w:val="18"/>
              </w:rPr>
              <w:t>66</w:t>
            </w:r>
          </w:p>
        </w:tc>
        <w:tc>
          <w:tcPr>
            <w:tcW w:w="948" w:type="dxa"/>
          </w:tcPr>
          <w:p>
            <w:pPr>
              <w:pStyle w:val="TableParagraph"/>
              <w:ind w:left="267"/>
              <w:jc w:val="left"/>
              <w:rPr>
                <w:sz w:val="18"/>
              </w:rPr>
            </w:pPr>
            <w:r>
              <w:rPr>
                <w:spacing w:val="-2"/>
                <w:sz w:val="18"/>
              </w:rPr>
              <w:t>12.05</w:t>
            </w:r>
          </w:p>
        </w:tc>
        <w:tc>
          <w:tcPr>
            <w:tcW w:w="948" w:type="dxa"/>
          </w:tcPr>
          <w:p>
            <w:pPr>
              <w:pStyle w:val="TableParagraph"/>
              <w:ind w:left="199" w:right="192"/>
              <w:rPr>
                <w:sz w:val="18"/>
              </w:rPr>
            </w:pPr>
            <w:r>
              <w:rPr>
                <w:spacing w:val="-4"/>
                <w:sz w:val="18"/>
              </w:rPr>
              <w:t>6.42</w:t>
            </w:r>
          </w:p>
        </w:tc>
        <w:tc>
          <w:tcPr>
            <w:tcW w:w="948" w:type="dxa"/>
          </w:tcPr>
          <w:p>
            <w:pPr>
              <w:pStyle w:val="TableParagraph"/>
              <w:ind w:right="327"/>
              <w:jc w:val="right"/>
              <w:rPr>
                <w:b/>
                <w:sz w:val="18"/>
              </w:rPr>
            </w:pPr>
            <w:r>
              <w:rPr>
                <w:b/>
                <w:spacing w:val="-5"/>
                <w:sz w:val="18"/>
              </w:rPr>
              <w:t>101</w:t>
            </w:r>
          </w:p>
        </w:tc>
        <w:tc>
          <w:tcPr>
            <w:tcW w:w="948" w:type="dxa"/>
            <w:tcBorders>
              <w:right w:val="single" w:sz="6" w:space="0" w:color="000000"/>
            </w:tcBorders>
          </w:tcPr>
          <w:p>
            <w:pPr>
              <w:pStyle w:val="TableParagraph"/>
              <w:ind w:left="205" w:right="197"/>
              <w:rPr>
                <w:sz w:val="18"/>
              </w:rPr>
            </w:pPr>
            <w:r>
              <w:rPr>
                <w:spacing w:val="-2"/>
                <w:sz w:val="18"/>
              </w:rPr>
              <w:t>333.51</w:t>
            </w:r>
          </w:p>
        </w:tc>
        <w:tc>
          <w:tcPr>
            <w:tcW w:w="943" w:type="dxa"/>
            <w:tcBorders>
              <w:left w:val="single" w:sz="6" w:space="0" w:color="000000"/>
            </w:tcBorders>
          </w:tcPr>
          <w:p>
            <w:pPr>
              <w:pStyle w:val="TableParagraph"/>
              <w:ind w:left="217"/>
              <w:jc w:val="left"/>
              <w:rPr>
                <w:sz w:val="18"/>
              </w:rPr>
            </w:pPr>
            <w:r>
              <w:rPr>
                <w:spacing w:val="-2"/>
                <w:sz w:val="18"/>
              </w:rPr>
              <w:t>261.70</w:t>
            </w:r>
          </w:p>
        </w:tc>
      </w:tr>
      <w:tr>
        <w:trPr>
          <w:trHeight w:val="312" w:hRule="atLeast"/>
        </w:trPr>
        <w:tc>
          <w:tcPr>
            <w:tcW w:w="946" w:type="dxa"/>
          </w:tcPr>
          <w:p>
            <w:pPr>
              <w:pStyle w:val="TableParagraph"/>
              <w:ind w:left="275" w:right="266"/>
              <w:rPr>
                <w:b/>
                <w:sz w:val="18"/>
              </w:rPr>
            </w:pPr>
            <w:r>
              <w:rPr>
                <w:b/>
                <w:spacing w:val="-5"/>
                <w:sz w:val="18"/>
              </w:rPr>
              <w:t>32</w:t>
            </w:r>
          </w:p>
        </w:tc>
        <w:tc>
          <w:tcPr>
            <w:tcW w:w="946" w:type="dxa"/>
          </w:tcPr>
          <w:p>
            <w:pPr>
              <w:pStyle w:val="TableParagraph"/>
              <w:ind w:left="276" w:right="266"/>
              <w:rPr>
                <w:sz w:val="18"/>
              </w:rPr>
            </w:pPr>
            <w:r>
              <w:rPr>
                <w:spacing w:val="-4"/>
                <w:sz w:val="18"/>
              </w:rPr>
              <w:t>0.63</w:t>
            </w:r>
          </w:p>
        </w:tc>
        <w:tc>
          <w:tcPr>
            <w:tcW w:w="949" w:type="dxa"/>
          </w:tcPr>
          <w:p>
            <w:pPr>
              <w:pStyle w:val="TableParagraph"/>
              <w:ind w:left="313"/>
              <w:jc w:val="left"/>
              <w:rPr>
                <w:sz w:val="18"/>
              </w:rPr>
            </w:pPr>
            <w:r>
              <w:rPr>
                <w:spacing w:val="-4"/>
                <w:sz w:val="18"/>
              </w:rPr>
              <w:t>0.26</w:t>
            </w:r>
          </w:p>
        </w:tc>
        <w:tc>
          <w:tcPr>
            <w:tcW w:w="948" w:type="dxa"/>
          </w:tcPr>
          <w:p>
            <w:pPr>
              <w:pStyle w:val="TableParagraph"/>
              <w:ind w:left="382"/>
              <w:jc w:val="left"/>
              <w:rPr>
                <w:b/>
                <w:sz w:val="18"/>
              </w:rPr>
            </w:pPr>
            <w:r>
              <w:rPr>
                <w:b/>
                <w:spacing w:val="-5"/>
                <w:sz w:val="18"/>
              </w:rPr>
              <w:t>67</w:t>
            </w:r>
          </w:p>
        </w:tc>
        <w:tc>
          <w:tcPr>
            <w:tcW w:w="948" w:type="dxa"/>
          </w:tcPr>
          <w:p>
            <w:pPr>
              <w:pStyle w:val="TableParagraph"/>
              <w:ind w:left="267"/>
              <w:jc w:val="left"/>
              <w:rPr>
                <w:sz w:val="18"/>
              </w:rPr>
            </w:pPr>
            <w:r>
              <w:rPr>
                <w:spacing w:val="-2"/>
                <w:sz w:val="18"/>
              </w:rPr>
              <w:t>13.51</w:t>
            </w:r>
          </w:p>
        </w:tc>
        <w:tc>
          <w:tcPr>
            <w:tcW w:w="948" w:type="dxa"/>
          </w:tcPr>
          <w:p>
            <w:pPr>
              <w:pStyle w:val="TableParagraph"/>
              <w:ind w:left="199" w:right="192"/>
              <w:rPr>
                <w:sz w:val="18"/>
              </w:rPr>
            </w:pPr>
            <w:r>
              <w:rPr>
                <w:spacing w:val="-4"/>
                <w:sz w:val="18"/>
              </w:rPr>
              <w:t>7.32</w:t>
            </w:r>
          </w:p>
        </w:tc>
        <w:tc>
          <w:tcPr>
            <w:tcW w:w="948" w:type="dxa"/>
          </w:tcPr>
          <w:p>
            <w:pPr>
              <w:pStyle w:val="TableParagraph"/>
              <w:ind w:right="327"/>
              <w:jc w:val="right"/>
              <w:rPr>
                <w:b/>
                <w:sz w:val="18"/>
              </w:rPr>
            </w:pPr>
            <w:r>
              <w:rPr>
                <w:b/>
                <w:spacing w:val="-5"/>
                <w:sz w:val="18"/>
              </w:rPr>
              <w:t>102</w:t>
            </w:r>
          </w:p>
        </w:tc>
        <w:tc>
          <w:tcPr>
            <w:tcW w:w="948" w:type="dxa"/>
            <w:tcBorders>
              <w:right w:val="single" w:sz="6" w:space="0" w:color="000000"/>
            </w:tcBorders>
          </w:tcPr>
          <w:p>
            <w:pPr>
              <w:pStyle w:val="TableParagraph"/>
              <w:ind w:left="203" w:right="198"/>
              <w:rPr>
                <w:sz w:val="18"/>
              </w:rPr>
            </w:pPr>
            <w:r>
              <w:rPr>
                <w:spacing w:val="-2"/>
                <w:sz w:val="18"/>
              </w:rPr>
              <w:t>354.78</w:t>
            </w:r>
          </w:p>
        </w:tc>
        <w:tc>
          <w:tcPr>
            <w:tcW w:w="943" w:type="dxa"/>
            <w:tcBorders>
              <w:left w:val="single" w:sz="6" w:space="0" w:color="000000"/>
            </w:tcBorders>
          </w:tcPr>
          <w:p>
            <w:pPr>
              <w:pStyle w:val="TableParagraph"/>
              <w:ind w:left="217"/>
              <w:jc w:val="left"/>
              <w:rPr>
                <w:sz w:val="18"/>
              </w:rPr>
            </w:pPr>
            <w:r>
              <w:rPr>
                <w:spacing w:val="-2"/>
                <w:sz w:val="18"/>
              </w:rPr>
              <w:t>282.25</w:t>
            </w:r>
          </w:p>
        </w:tc>
      </w:tr>
      <w:tr>
        <w:trPr>
          <w:trHeight w:val="311" w:hRule="atLeast"/>
        </w:trPr>
        <w:tc>
          <w:tcPr>
            <w:tcW w:w="946" w:type="dxa"/>
          </w:tcPr>
          <w:p>
            <w:pPr>
              <w:pStyle w:val="TableParagraph"/>
              <w:ind w:left="275" w:right="266"/>
              <w:rPr>
                <w:b/>
                <w:sz w:val="18"/>
              </w:rPr>
            </w:pPr>
            <w:r>
              <w:rPr>
                <w:b/>
                <w:spacing w:val="-5"/>
                <w:sz w:val="18"/>
              </w:rPr>
              <w:t>33</w:t>
            </w:r>
          </w:p>
        </w:tc>
        <w:tc>
          <w:tcPr>
            <w:tcW w:w="946" w:type="dxa"/>
          </w:tcPr>
          <w:p>
            <w:pPr>
              <w:pStyle w:val="TableParagraph"/>
              <w:ind w:left="276" w:right="266"/>
              <w:rPr>
                <w:sz w:val="18"/>
              </w:rPr>
            </w:pPr>
            <w:r>
              <w:rPr>
                <w:spacing w:val="-4"/>
                <w:sz w:val="18"/>
              </w:rPr>
              <w:t>0.68</w:t>
            </w:r>
          </w:p>
        </w:tc>
        <w:tc>
          <w:tcPr>
            <w:tcW w:w="949" w:type="dxa"/>
          </w:tcPr>
          <w:p>
            <w:pPr>
              <w:pStyle w:val="TableParagraph"/>
              <w:ind w:left="313"/>
              <w:jc w:val="left"/>
              <w:rPr>
                <w:sz w:val="18"/>
              </w:rPr>
            </w:pPr>
            <w:r>
              <w:rPr>
                <w:spacing w:val="-4"/>
                <w:sz w:val="18"/>
              </w:rPr>
              <w:t>0.28</w:t>
            </w:r>
          </w:p>
        </w:tc>
        <w:tc>
          <w:tcPr>
            <w:tcW w:w="948" w:type="dxa"/>
          </w:tcPr>
          <w:p>
            <w:pPr>
              <w:pStyle w:val="TableParagraph"/>
              <w:ind w:left="380"/>
              <w:jc w:val="left"/>
              <w:rPr>
                <w:b/>
                <w:sz w:val="18"/>
              </w:rPr>
            </w:pPr>
            <w:r>
              <w:rPr>
                <w:b/>
                <w:spacing w:val="-5"/>
                <w:sz w:val="18"/>
              </w:rPr>
              <w:t>68</w:t>
            </w:r>
          </w:p>
        </w:tc>
        <w:tc>
          <w:tcPr>
            <w:tcW w:w="948" w:type="dxa"/>
          </w:tcPr>
          <w:p>
            <w:pPr>
              <w:pStyle w:val="TableParagraph"/>
              <w:ind w:left="267"/>
              <w:jc w:val="left"/>
              <w:rPr>
                <w:sz w:val="18"/>
              </w:rPr>
            </w:pPr>
            <w:r>
              <w:rPr>
                <w:spacing w:val="-2"/>
                <w:sz w:val="18"/>
              </w:rPr>
              <w:t>15.18</w:t>
            </w:r>
          </w:p>
        </w:tc>
        <w:tc>
          <w:tcPr>
            <w:tcW w:w="948" w:type="dxa"/>
          </w:tcPr>
          <w:p>
            <w:pPr>
              <w:pStyle w:val="TableParagraph"/>
              <w:ind w:left="199" w:right="192"/>
              <w:rPr>
                <w:sz w:val="18"/>
              </w:rPr>
            </w:pPr>
            <w:r>
              <w:rPr>
                <w:spacing w:val="-4"/>
                <w:sz w:val="18"/>
              </w:rPr>
              <w:t>8.37</w:t>
            </w:r>
          </w:p>
        </w:tc>
        <w:tc>
          <w:tcPr>
            <w:tcW w:w="948" w:type="dxa"/>
          </w:tcPr>
          <w:p>
            <w:pPr>
              <w:pStyle w:val="TableParagraph"/>
              <w:ind w:right="327"/>
              <w:jc w:val="right"/>
              <w:rPr>
                <w:b/>
                <w:sz w:val="18"/>
              </w:rPr>
            </w:pPr>
            <w:r>
              <w:rPr>
                <w:b/>
                <w:spacing w:val="-5"/>
                <w:sz w:val="18"/>
              </w:rPr>
              <w:t>103</w:t>
            </w:r>
          </w:p>
        </w:tc>
        <w:tc>
          <w:tcPr>
            <w:tcW w:w="948" w:type="dxa"/>
            <w:tcBorders>
              <w:right w:val="single" w:sz="6" w:space="0" w:color="000000"/>
            </w:tcBorders>
          </w:tcPr>
          <w:p>
            <w:pPr>
              <w:pStyle w:val="TableParagraph"/>
              <w:ind w:left="203" w:right="198"/>
              <w:rPr>
                <w:sz w:val="18"/>
              </w:rPr>
            </w:pPr>
            <w:r>
              <w:rPr>
                <w:spacing w:val="-2"/>
                <w:sz w:val="18"/>
              </w:rPr>
              <w:t>376.29</w:t>
            </w:r>
          </w:p>
        </w:tc>
        <w:tc>
          <w:tcPr>
            <w:tcW w:w="943" w:type="dxa"/>
            <w:tcBorders>
              <w:left w:val="single" w:sz="6" w:space="0" w:color="000000"/>
            </w:tcBorders>
          </w:tcPr>
          <w:p>
            <w:pPr>
              <w:pStyle w:val="TableParagraph"/>
              <w:ind w:left="217"/>
              <w:jc w:val="left"/>
              <w:rPr>
                <w:sz w:val="18"/>
              </w:rPr>
            </w:pPr>
            <w:r>
              <w:rPr>
                <w:spacing w:val="-2"/>
                <w:sz w:val="18"/>
              </w:rPr>
              <w:t>303.68</w:t>
            </w:r>
          </w:p>
        </w:tc>
      </w:tr>
      <w:tr>
        <w:trPr>
          <w:trHeight w:val="623" w:hRule="atLeast"/>
        </w:trPr>
        <w:tc>
          <w:tcPr>
            <w:tcW w:w="946" w:type="dxa"/>
          </w:tcPr>
          <w:p>
            <w:pPr>
              <w:pStyle w:val="TableParagraph"/>
              <w:spacing w:before="8"/>
              <w:jc w:val="left"/>
              <w:rPr>
                <w:rFonts w:ascii="宋体"/>
                <w:sz w:val="15"/>
              </w:rPr>
            </w:pPr>
          </w:p>
          <w:p>
            <w:pPr>
              <w:pStyle w:val="TableParagraph"/>
              <w:spacing w:before="0"/>
              <w:ind w:left="275" w:right="266"/>
              <w:rPr>
                <w:b/>
                <w:sz w:val="18"/>
              </w:rPr>
            </w:pPr>
            <w:r>
              <w:rPr>
                <w:b/>
                <w:spacing w:val="-5"/>
                <w:sz w:val="18"/>
              </w:rPr>
              <w:t>34</w:t>
            </w:r>
          </w:p>
        </w:tc>
        <w:tc>
          <w:tcPr>
            <w:tcW w:w="946" w:type="dxa"/>
          </w:tcPr>
          <w:p>
            <w:pPr>
              <w:pStyle w:val="TableParagraph"/>
              <w:spacing w:before="8"/>
              <w:jc w:val="left"/>
              <w:rPr>
                <w:rFonts w:ascii="宋体"/>
                <w:sz w:val="15"/>
              </w:rPr>
            </w:pPr>
          </w:p>
          <w:p>
            <w:pPr>
              <w:pStyle w:val="TableParagraph"/>
              <w:spacing w:before="0"/>
              <w:ind w:left="274" w:right="266"/>
              <w:rPr>
                <w:sz w:val="18"/>
              </w:rPr>
            </w:pPr>
            <w:r>
              <w:rPr>
                <w:spacing w:val="-4"/>
                <w:sz w:val="18"/>
              </w:rPr>
              <w:t>0.72</w:t>
            </w:r>
          </w:p>
        </w:tc>
        <w:tc>
          <w:tcPr>
            <w:tcW w:w="949" w:type="dxa"/>
          </w:tcPr>
          <w:p>
            <w:pPr>
              <w:pStyle w:val="TableParagraph"/>
              <w:spacing w:before="8"/>
              <w:jc w:val="left"/>
              <w:rPr>
                <w:rFonts w:ascii="宋体"/>
                <w:sz w:val="15"/>
              </w:rPr>
            </w:pPr>
          </w:p>
          <w:p>
            <w:pPr>
              <w:pStyle w:val="TableParagraph"/>
              <w:spacing w:before="0"/>
              <w:ind w:left="313"/>
              <w:jc w:val="left"/>
              <w:rPr>
                <w:sz w:val="18"/>
              </w:rPr>
            </w:pPr>
            <w:r>
              <w:rPr>
                <w:spacing w:val="-4"/>
                <w:sz w:val="18"/>
              </w:rPr>
              <w:t>0.30</w:t>
            </w:r>
          </w:p>
        </w:tc>
        <w:tc>
          <w:tcPr>
            <w:tcW w:w="948" w:type="dxa"/>
          </w:tcPr>
          <w:p>
            <w:pPr>
              <w:pStyle w:val="TableParagraph"/>
              <w:spacing w:before="8"/>
              <w:jc w:val="left"/>
              <w:rPr>
                <w:rFonts w:ascii="宋体"/>
                <w:sz w:val="15"/>
              </w:rPr>
            </w:pPr>
          </w:p>
          <w:p>
            <w:pPr>
              <w:pStyle w:val="TableParagraph"/>
              <w:spacing w:before="0"/>
              <w:ind w:left="380"/>
              <w:jc w:val="left"/>
              <w:rPr>
                <w:b/>
                <w:sz w:val="18"/>
              </w:rPr>
            </w:pPr>
            <w:r>
              <w:rPr>
                <w:b/>
                <w:spacing w:val="-5"/>
                <w:sz w:val="18"/>
              </w:rPr>
              <w:t>69</w:t>
            </w:r>
          </w:p>
        </w:tc>
        <w:tc>
          <w:tcPr>
            <w:tcW w:w="948" w:type="dxa"/>
          </w:tcPr>
          <w:p>
            <w:pPr>
              <w:pStyle w:val="TableParagraph"/>
              <w:spacing w:before="8"/>
              <w:jc w:val="left"/>
              <w:rPr>
                <w:rFonts w:ascii="宋体"/>
                <w:sz w:val="15"/>
              </w:rPr>
            </w:pPr>
          </w:p>
          <w:p>
            <w:pPr>
              <w:pStyle w:val="TableParagraph"/>
              <w:spacing w:before="0"/>
              <w:ind w:left="267"/>
              <w:jc w:val="left"/>
              <w:rPr>
                <w:sz w:val="18"/>
              </w:rPr>
            </w:pPr>
            <w:r>
              <w:rPr>
                <w:spacing w:val="-2"/>
                <w:sz w:val="18"/>
              </w:rPr>
              <w:t>17.09</w:t>
            </w:r>
          </w:p>
        </w:tc>
        <w:tc>
          <w:tcPr>
            <w:tcW w:w="948" w:type="dxa"/>
          </w:tcPr>
          <w:p>
            <w:pPr>
              <w:pStyle w:val="TableParagraph"/>
              <w:spacing w:before="8"/>
              <w:jc w:val="left"/>
              <w:rPr>
                <w:rFonts w:ascii="宋体"/>
                <w:sz w:val="15"/>
              </w:rPr>
            </w:pPr>
          </w:p>
          <w:p>
            <w:pPr>
              <w:pStyle w:val="TableParagraph"/>
              <w:spacing w:before="0"/>
              <w:ind w:left="199" w:right="192"/>
              <w:rPr>
                <w:sz w:val="18"/>
              </w:rPr>
            </w:pPr>
            <w:r>
              <w:rPr>
                <w:spacing w:val="-4"/>
                <w:sz w:val="18"/>
              </w:rPr>
              <w:t>9.57</w:t>
            </w:r>
          </w:p>
        </w:tc>
        <w:tc>
          <w:tcPr>
            <w:tcW w:w="948" w:type="dxa"/>
          </w:tcPr>
          <w:p>
            <w:pPr>
              <w:pStyle w:val="TableParagraph"/>
              <w:ind w:left="199" w:right="194"/>
              <w:rPr>
                <w:b/>
                <w:sz w:val="18"/>
              </w:rPr>
            </w:pPr>
            <w:r>
              <w:rPr>
                <w:b/>
                <w:spacing w:val="-5"/>
                <w:sz w:val="18"/>
              </w:rPr>
              <w:t>104</w:t>
            </w:r>
          </w:p>
          <w:p>
            <w:pPr>
              <w:pStyle w:val="TableParagraph"/>
              <w:spacing w:before="86"/>
              <w:ind w:left="199" w:right="194"/>
              <w:rPr>
                <w:rFonts w:ascii="宋体" w:eastAsia="宋体" w:hint="eastAsia"/>
                <w:b/>
                <w:sz w:val="18"/>
              </w:rPr>
            </w:pPr>
            <w:r>
              <w:rPr>
                <w:rFonts w:ascii="宋体" w:eastAsia="宋体" w:hint="eastAsia"/>
                <w:b/>
                <w:w w:val="95"/>
                <w:sz w:val="18"/>
              </w:rPr>
              <w:t>及</w:t>
            </w:r>
            <w:r>
              <w:rPr>
                <w:rFonts w:ascii="宋体" w:eastAsia="宋体" w:hint="eastAsia"/>
                <w:b/>
                <w:w w:val="95"/>
                <w:sz w:val="18"/>
              </w:rPr>
              <w:t>以</w:t>
            </w:r>
            <w:r>
              <w:rPr>
                <w:rFonts w:ascii="宋体" w:eastAsia="宋体" w:hint="eastAsia"/>
                <w:b/>
                <w:spacing w:val="-10"/>
                <w:w w:val="95"/>
                <w:sz w:val="18"/>
              </w:rPr>
              <w:t>上</w:t>
            </w:r>
          </w:p>
        </w:tc>
        <w:tc>
          <w:tcPr>
            <w:tcW w:w="948" w:type="dxa"/>
            <w:tcBorders>
              <w:right w:val="single" w:sz="6" w:space="0" w:color="000000"/>
            </w:tcBorders>
          </w:tcPr>
          <w:p>
            <w:pPr>
              <w:pStyle w:val="TableParagraph"/>
              <w:spacing w:before="8"/>
              <w:jc w:val="left"/>
              <w:rPr>
                <w:rFonts w:ascii="宋体"/>
                <w:sz w:val="15"/>
              </w:rPr>
            </w:pPr>
          </w:p>
          <w:p>
            <w:pPr>
              <w:pStyle w:val="TableParagraph"/>
              <w:spacing w:before="0"/>
              <w:ind w:left="203" w:right="198"/>
              <w:rPr>
                <w:sz w:val="18"/>
              </w:rPr>
            </w:pPr>
            <w:r>
              <w:rPr>
                <w:spacing w:val="-2"/>
                <w:sz w:val="18"/>
              </w:rPr>
              <w:t>397.95</w:t>
            </w:r>
          </w:p>
        </w:tc>
        <w:tc>
          <w:tcPr>
            <w:tcW w:w="943" w:type="dxa"/>
            <w:tcBorders>
              <w:left w:val="single" w:sz="6" w:space="0" w:color="000000"/>
            </w:tcBorders>
          </w:tcPr>
          <w:p>
            <w:pPr>
              <w:pStyle w:val="TableParagraph"/>
              <w:spacing w:before="8"/>
              <w:jc w:val="left"/>
              <w:rPr>
                <w:rFonts w:ascii="宋体"/>
                <w:sz w:val="15"/>
              </w:rPr>
            </w:pPr>
          </w:p>
          <w:p>
            <w:pPr>
              <w:pStyle w:val="TableParagraph"/>
              <w:spacing w:before="0"/>
              <w:ind w:left="217"/>
              <w:jc w:val="left"/>
              <w:rPr>
                <w:sz w:val="18"/>
              </w:rPr>
            </w:pPr>
            <w:r>
              <w:rPr>
                <w:spacing w:val="-2"/>
                <w:sz w:val="18"/>
              </w:rPr>
              <w:t>325.81</w:t>
            </w:r>
          </w:p>
        </w:tc>
      </w:tr>
    </w:tbl>
    <w:p>
      <w:pPr>
        <w:pStyle w:val="BodyText"/>
        <w:rPr>
          <w:sz w:val="22"/>
        </w:rPr>
      </w:pPr>
    </w:p>
    <w:p>
      <w:pPr>
        <w:pStyle w:val="BodyText"/>
        <w:spacing w:before="151"/>
        <w:ind w:left="1602" w:right="1598"/>
        <w:jc w:val="center"/>
      </w:pPr>
      <w:r>
        <w:rPr>
          <w:spacing w:val="-2"/>
        </w:rPr>
        <w:t>（本合同条款内容结束</w:t>
      </w:r>
      <w:r>
        <w:rPr>
          <w:spacing w:val="-10"/>
        </w:rPr>
        <w:t>）</w:t>
      </w:r>
    </w:p>
    <w:sectPr>
      <w:pgSz w:w="11910" w:h="16840"/>
      <w:pgMar w:header="0" w:footer="1005" w:top="1400" w:bottom="1200" w:left="1480" w:right="1480"/>
    </w:sectPr>
  </w:body>
</w:document>
</file>

<file path=word/fontTable.xml><?xml version="1.0" encoding="utf-8"?>
<w:fonts xmlns:r="http://schemas.openxmlformats.org/officeDocument/2006/relationships" xmlns:w="http://schemas.openxmlformats.org/wordprocessingml/2006/main">
  <w:font w:name="Times New Roman">
    <w:altName w:val="Times New Roman"/>
    <w:charset w:val="0"/>
    <w:family w:val="roman"/>
    <w:pitch w:val="variable"/>
  </w:font>
  <w:font w:name="Arial">
    <w:altName w:val="Arial"/>
    <w:charset w:val="0"/>
    <w:family w:val="swiss"/>
    <w:pitch w:val="variable"/>
  </w:font>
  <w:font w:name="宋体">
    <w:altName w:val="宋体"/>
    <w:charset w:val="86"/>
    <w:family w:val="auto"/>
    <w:pitch w:val="variable"/>
  </w:font>
  <w:font w:name="Calibri">
    <w:altName w:val="Calibri"/>
    <w:charset w:val="0"/>
    <w:family w:val="swiss"/>
    <w:pitch w:val="variable"/>
  </w:font>
  <w:font w:name="黑体">
    <w:altName w:val="黑体"/>
    <w:charset w:val="86"/>
    <w:family w:val="modern"/>
    <w:pitch w:val="fixed"/>
  </w:font>
  <w:font w:name="仿宋">
    <w:altName w:val="仿宋"/>
    <w:charset w:val="86"/>
    <w:family w:val="modern"/>
    <w:pitch w:val="fixed"/>
  </w:font>
  <w:font w:name="Microsoft JhengHei">
    <w:altName w:val="Microsoft JhengHei"/>
    <w:charset w:val="0"/>
    <w:family w:val="swiss"/>
    <w:pitch w:val="variable"/>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a="http://schemas.openxmlformats.org/drawingml/2006/main" xmlns:pic="http://schemas.openxmlformats.org/drawingml/2006/picture" xml:space="preserve">
  <w:p>
    <w:pPr>
      <w:pStyle w:val="BodyText"/>
      <w:spacing w:line="14" w:lineRule="auto"/>
      <w:rPr>
        <w:sz w:val="20"/>
      </w:rPr>
    </w:pPr>
    <w:r>
      <w:rPr/>
      <w:pict>
        <v:shapetype id="_x0000_t202" o:spt="202" coordsize="21600,21600" path="m,l,21600r21600,l21600,xe">
          <v:stroke joinstyle="miter"/>
          <v:path gradientshapeok="t" o:connecttype="rect"/>
        </v:shapetype>
        <v:shape style="position:absolute;margin-left:258.369995pt;margin-top:780.675964pt;width:78.7pt;height:12pt;mso-position-horizontal-relative:page;mso-position-vertical-relative:page;z-index:-16602112" type="#_x0000_t202" id="docshape1" filled="false" stroked="false">
          <v:textbox inset="0,0,0,0">
            <w:txbxContent>
              <w:p>
                <w:pPr>
                  <w:spacing w:before="0"/>
                  <w:ind w:left="20" w:right="0" w:firstLine="0"/>
                  <w:jc w:val="left"/>
                  <w:rPr>
                    <w:sz w:val="18"/>
                  </w:rPr>
                </w:pPr>
                <w:r>
                  <w:rPr>
                    <w:sz w:val="18"/>
                  </w:rPr>
                  <w:t>第 </w:t>
                </w:r>
                <w:r>
                  <w:rPr>
                    <w:rFonts w:ascii="Times New Roman" w:eastAsia="Times New Roman"/>
                    <w:sz w:val="18"/>
                  </w:rPr>
                  <w:fldChar w:fldCharType="begin"/>
                </w:r>
                <w:r>
                  <w:rPr>
                    <w:rFonts w:ascii="Times New Roman" w:eastAsia="Times New Roman"/>
                    <w:sz w:val="18"/>
                  </w:rPr>
                  <w:instrText> PAGE </w:instrText>
                </w:r>
                <w:r>
                  <w:rPr>
                    <w:rFonts w:ascii="Times New Roman" w:eastAsia="Times New Roman"/>
                    <w:sz w:val="18"/>
                  </w:rPr>
                  <w:fldChar w:fldCharType="separate"/>
                </w:r>
                <w:r>
                  <w:rPr>
                    <w:rFonts w:ascii="Times New Roman" w:eastAsia="Times New Roman"/>
                    <w:sz w:val="18"/>
                  </w:rPr>
                  <w:t>10</w:t>
                </w:r>
                <w:r>
                  <w:rPr>
                    <w:rFonts w:ascii="Times New Roman" w:eastAsia="Times New Roman"/>
                    <w:sz w:val="18"/>
                  </w:rPr>
                  <w:fldChar w:fldCharType="end"/>
                </w:r>
                <w:r>
                  <w:rPr>
                    <w:rFonts w:ascii="Times New Roman" w:eastAsia="Times New Roman"/>
                    <w:spacing w:val="45"/>
                    <w:sz w:val="18"/>
                  </w:rPr>
                  <w:t> </w:t>
                </w:r>
                <w:r>
                  <w:rPr>
                    <w:spacing w:val="-1"/>
                    <w:sz w:val="18"/>
                  </w:rPr>
                  <w:t>页 共 </w:t>
                </w:r>
                <w:r>
                  <w:rPr>
                    <w:rFonts w:ascii="Times New Roman" w:eastAsia="Times New Roman"/>
                    <w:sz w:val="18"/>
                  </w:rPr>
                  <w:fldChar w:fldCharType="begin"/>
                </w:r>
                <w:r>
                  <w:rPr>
                    <w:rFonts w:ascii="Times New Roman" w:eastAsia="Times New Roman"/>
                    <w:sz w:val="18"/>
                  </w:rPr>
                  <w:instrText> NUMPAGES </w:instrText>
                </w:r>
                <w:r>
                  <w:rPr>
                    <w:rFonts w:ascii="Times New Roman" w:eastAsia="Times New Roman"/>
                    <w:sz w:val="18"/>
                  </w:rPr>
                  <w:fldChar w:fldCharType="separate"/>
                </w:r>
                <w:r>
                  <w:rPr>
                    <w:rFonts w:ascii="Times New Roman" w:eastAsia="Times New Roman"/>
                    <w:sz w:val="18"/>
                  </w:rPr>
                  <w:t>17</w:t>
                </w:r>
                <w:r>
                  <w:rPr>
                    <w:rFonts w:ascii="Times New Roman" w:eastAsia="Times New Roman"/>
                    <w:sz w:val="18"/>
                  </w:rPr>
                  <w:fldChar w:fldCharType="end"/>
                </w:r>
                <w:r>
                  <w:rPr>
                    <w:rFonts w:ascii="Times New Roman" w:eastAsia="Times New Roman"/>
                    <w:spacing w:val="47"/>
                    <w:sz w:val="18"/>
                  </w:rPr>
                  <w:t> </w:t>
                </w:r>
                <w:r>
                  <w:rPr>
                    <w:spacing w:val="-10"/>
                    <w:sz w:val="18"/>
                  </w:rPr>
                  <w:t>页</w:t>
                </w:r>
              </w:p>
            </w:txbxContent>
          </v:textbox>
          <w10:wrap type="none"/>
        </v:shape>
      </w:pict>
    </w:r>
  </w:p>
</w:ft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13">
    <w:multiLevelType w:val="hybridMultilevel"/>
    <w:lvl w:ilvl="0">
      <w:start w:val="1"/>
      <w:numFmt w:val="decimal"/>
      <w:lvlText w:val="%1."/>
      <w:lvlJc w:val="left"/>
      <w:pPr>
        <w:ind w:left="740" w:hanging="420"/>
        <w:jc w:val="left"/>
      </w:pPr>
      <w:rPr>
        <w:rFonts w:hint="default" w:ascii="Calibri" w:hAnsi="Calibri" w:eastAsia="Calibri" w:cs="Calibri"/>
        <w:b/>
        <w:bCs/>
        <w:i w:val="0"/>
        <w:iCs w:val="0"/>
        <w:w w:val="100"/>
        <w:sz w:val="21"/>
        <w:szCs w:val="21"/>
        <w:lang w:val="en-US" w:eastAsia="zh-CN" w:bidi="ar-SA"/>
      </w:rPr>
    </w:lvl>
    <w:lvl w:ilvl="1">
      <w:start w:val="0"/>
      <w:numFmt w:val="bullet"/>
      <w:lvlText w:val="•"/>
      <w:lvlJc w:val="left"/>
      <w:pPr>
        <w:ind w:left="1560" w:hanging="420"/>
      </w:pPr>
      <w:rPr>
        <w:rFonts w:hint="default"/>
        <w:lang w:val="en-US" w:eastAsia="zh-CN" w:bidi="ar-SA"/>
      </w:rPr>
    </w:lvl>
    <w:lvl w:ilvl="2">
      <w:start w:val="0"/>
      <w:numFmt w:val="bullet"/>
      <w:lvlText w:val="•"/>
      <w:lvlJc w:val="left"/>
      <w:pPr>
        <w:ind w:left="2381" w:hanging="420"/>
      </w:pPr>
      <w:rPr>
        <w:rFonts w:hint="default"/>
        <w:lang w:val="en-US" w:eastAsia="zh-CN" w:bidi="ar-SA"/>
      </w:rPr>
    </w:lvl>
    <w:lvl w:ilvl="3">
      <w:start w:val="0"/>
      <w:numFmt w:val="bullet"/>
      <w:lvlText w:val="•"/>
      <w:lvlJc w:val="left"/>
      <w:pPr>
        <w:ind w:left="3201" w:hanging="420"/>
      </w:pPr>
      <w:rPr>
        <w:rFonts w:hint="default"/>
        <w:lang w:val="en-US" w:eastAsia="zh-CN" w:bidi="ar-SA"/>
      </w:rPr>
    </w:lvl>
    <w:lvl w:ilvl="4">
      <w:start w:val="0"/>
      <w:numFmt w:val="bullet"/>
      <w:lvlText w:val="•"/>
      <w:lvlJc w:val="left"/>
      <w:pPr>
        <w:ind w:left="4022" w:hanging="420"/>
      </w:pPr>
      <w:rPr>
        <w:rFonts w:hint="default"/>
        <w:lang w:val="en-US" w:eastAsia="zh-CN" w:bidi="ar-SA"/>
      </w:rPr>
    </w:lvl>
    <w:lvl w:ilvl="5">
      <w:start w:val="0"/>
      <w:numFmt w:val="bullet"/>
      <w:lvlText w:val="•"/>
      <w:lvlJc w:val="left"/>
      <w:pPr>
        <w:ind w:left="4843" w:hanging="420"/>
      </w:pPr>
      <w:rPr>
        <w:rFonts w:hint="default"/>
        <w:lang w:val="en-US" w:eastAsia="zh-CN" w:bidi="ar-SA"/>
      </w:rPr>
    </w:lvl>
    <w:lvl w:ilvl="6">
      <w:start w:val="0"/>
      <w:numFmt w:val="bullet"/>
      <w:lvlText w:val="•"/>
      <w:lvlJc w:val="left"/>
      <w:pPr>
        <w:ind w:left="5663" w:hanging="420"/>
      </w:pPr>
      <w:rPr>
        <w:rFonts w:hint="default"/>
        <w:lang w:val="en-US" w:eastAsia="zh-CN" w:bidi="ar-SA"/>
      </w:rPr>
    </w:lvl>
    <w:lvl w:ilvl="7">
      <w:start w:val="0"/>
      <w:numFmt w:val="bullet"/>
      <w:lvlText w:val="•"/>
      <w:lvlJc w:val="left"/>
      <w:pPr>
        <w:ind w:left="6484" w:hanging="420"/>
      </w:pPr>
      <w:rPr>
        <w:rFonts w:hint="default"/>
        <w:lang w:val="en-US" w:eastAsia="zh-CN" w:bidi="ar-SA"/>
      </w:rPr>
    </w:lvl>
    <w:lvl w:ilvl="8">
      <w:start w:val="0"/>
      <w:numFmt w:val="bullet"/>
      <w:lvlText w:val="•"/>
      <w:lvlJc w:val="left"/>
      <w:pPr>
        <w:ind w:left="7305" w:hanging="420"/>
      </w:pPr>
      <w:rPr>
        <w:rFonts w:hint="default"/>
        <w:lang w:val="en-US" w:eastAsia="zh-CN" w:bidi="ar-SA"/>
      </w:rPr>
    </w:lvl>
  </w:abstractNum>
  <w:abstractNum w:abstractNumId="12">
    <w:multiLevelType w:val="hybridMultilevel"/>
    <w:lvl w:ilvl="0">
      <w:start w:val="1"/>
      <w:numFmt w:val="decimal"/>
      <w:lvlText w:val="（%1）"/>
      <w:lvlJc w:val="left"/>
      <w:pPr>
        <w:ind w:left="1160" w:hanging="557"/>
        <w:jc w:val="left"/>
      </w:pPr>
      <w:rPr>
        <w:rFonts w:hint="default" w:ascii="宋体" w:hAnsi="宋体" w:eastAsia="宋体" w:cs="宋体"/>
        <w:b w:val="0"/>
        <w:bCs w:val="0"/>
        <w:i w:val="0"/>
        <w:iCs w:val="0"/>
        <w:spacing w:val="-2"/>
        <w:w w:val="100"/>
        <w:sz w:val="21"/>
        <w:szCs w:val="21"/>
        <w:lang w:val="en-US" w:eastAsia="zh-CN" w:bidi="ar-SA"/>
      </w:rPr>
    </w:lvl>
    <w:lvl w:ilvl="1">
      <w:start w:val="0"/>
      <w:numFmt w:val="bullet"/>
      <w:lvlText w:val="•"/>
      <w:lvlJc w:val="left"/>
      <w:pPr>
        <w:ind w:left="1938" w:hanging="557"/>
      </w:pPr>
      <w:rPr>
        <w:rFonts w:hint="default"/>
        <w:lang w:val="en-US" w:eastAsia="zh-CN" w:bidi="ar-SA"/>
      </w:rPr>
    </w:lvl>
    <w:lvl w:ilvl="2">
      <w:start w:val="0"/>
      <w:numFmt w:val="bullet"/>
      <w:lvlText w:val="•"/>
      <w:lvlJc w:val="left"/>
      <w:pPr>
        <w:ind w:left="2717" w:hanging="557"/>
      </w:pPr>
      <w:rPr>
        <w:rFonts w:hint="default"/>
        <w:lang w:val="en-US" w:eastAsia="zh-CN" w:bidi="ar-SA"/>
      </w:rPr>
    </w:lvl>
    <w:lvl w:ilvl="3">
      <w:start w:val="0"/>
      <w:numFmt w:val="bullet"/>
      <w:lvlText w:val="•"/>
      <w:lvlJc w:val="left"/>
      <w:pPr>
        <w:ind w:left="3495" w:hanging="557"/>
      </w:pPr>
      <w:rPr>
        <w:rFonts w:hint="default"/>
        <w:lang w:val="en-US" w:eastAsia="zh-CN" w:bidi="ar-SA"/>
      </w:rPr>
    </w:lvl>
    <w:lvl w:ilvl="4">
      <w:start w:val="0"/>
      <w:numFmt w:val="bullet"/>
      <w:lvlText w:val="•"/>
      <w:lvlJc w:val="left"/>
      <w:pPr>
        <w:ind w:left="4274" w:hanging="557"/>
      </w:pPr>
      <w:rPr>
        <w:rFonts w:hint="default"/>
        <w:lang w:val="en-US" w:eastAsia="zh-CN" w:bidi="ar-SA"/>
      </w:rPr>
    </w:lvl>
    <w:lvl w:ilvl="5">
      <w:start w:val="0"/>
      <w:numFmt w:val="bullet"/>
      <w:lvlText w:val="•"/>
      <w:lvlJc w:val="left"/>
      <w:pPr>
        <w:ind w:left="5053" w:hanging="557"/>
      </w:pPr>
      <w:rPr>
        <w:rFonts w:hint="default"/>
        <w:lang w:val="en-US" w:eastAsia="zh-CN" w:bidi="ar-SA"/>
      </w:rPr>
    </w:lvl>
    <w:lvl w:ilvl="6">
      <w:start w:val="0"/>
      <w:numFmt w:val="bullet"/>
      <w:lvlText w:val="•"/>
      <w:lvlJc w:val="left"/>
      <w:pPr>
        <w:ind w:left="5831" w:hanging="557"/>
      </w:pPr>
      <w:rPr>
        <w:rFonts w:hint="default"/>
        <w:lang w:val="en-US" w:eastAsia="zh-CN" w:bidi="ar-SA"/>
      </w:rPr>
    </w:lvl>
    <w:lvl w:ilvl="7">
      <w:start w:val="0"/>
      <w:numFmt w:val="bullet"/>
      <w:lvlText w:val="•"/>
      <w:lvlJc w:val="left"/>
      <w:pPr>
        <w:ind w:left="6610" w:hanging="557"/>
      </w:pPr>
      <w:rPr>
        <w:rFonts w:hint="default"/>
        <w:lang w:val="en-US" w:eastAsia="zh-CN" w:bidi="ar-SA"/>
      </w:rPr>
    </w:lvl>
    <w:lvl w:ilvl="8">
      <w:start w:val="0"/>
      <w:numFmt w:val="bullet"/>
      <w:lvlText w:val="•"/>
      <w:lvlJc w:val="left"/>
      <w:pPr>
        <w:ind w:left="7389" w:hanging="557"/>
      </w:pPr>
      <w:rPr>
        <w:rFonts w:hint="default"/>
        <w:lang w:val="en-US" w:eastAsia="zh-CN" w:bidi="ar-SA"/>
      </w:rPr>
    </w:lvl>
  </w:abstractNum>
  <w:abstractNum w:abstractNumId="11">
    <w:multiLevelType w:val="hybridMultilevel"/>
    <w:lvl w:ilvl="0">
      <w:start w:val="1"/>
      <w:numFmt w:val="decimal"/>
      <w:lvlText w:val="（%1）"/>
      <w:lvlJc w:val="left"/>
      <w:pPr>
        <w:ind w:left="320" w:hanging="552"/>
        <w:jc w:val="left"/>
      </w:pPr>
      <w:rPr>
        <w:rFonts w:hint="default" w:ascii="宋体" w:hAnsi="宋体" w:eastAsia="宋体" w:cs="宋体"/>
        <w:b w:val="0"/>
        <w:bCs w:val="0"/>
        <w:i w:val="0"/>
        <w:iCs w:val="0"/>
        <w:spacing w:val="-2"/>
        <w:w w:val="100"/>
        <w:sz w:val="21"/>
        <w:szCs w:val="21"/>
        <w:lang w:val="en-US" w:eastAsia="zh-CN" w:bidi="ar-SA"/>
      </w:rPr>
    </w:lvl>
    <w:lvl w:ilvl="1">
      <w:start w:val="0"/>
      <w:numFmt w:val="bullet"/>
      <w:lvlText w:val="•"/>
      <w:lvlJc w:val="left"/>
      <w:pPr>
        <w:ind w:left="1182" w:hanging="552"/>
      </w:pPr>
      <w:rPr>
        <w:rFonts w:hint="default"/>
        <w:lang w:val="en-US" w:eastAsia="zh-CN" w:bidi="ar-SA"/>
      </w:rPr>
    </w:lvl>
    <w:lvl w:ilvl="2">
      <w:start w:val="0"/>
      <w:numFmt w:val="bullet"/>
      <w:lvlText w:val="•"/>
      <w:lvlJc w:val="left"/>
      <w:pPr>
        <w:ind w:left="2045" w:hanging="552"/>
      </w:pPr>
      <w:rPr>
        <w:rFonts w:hint="default"/>
        <w:lang w:val="en-US" w:eastAsia="zh-CN" w:bidi="ar-SA"/>
      </w:rPr>
    </w:lvl>
    <w:lvl w:ilvl="3">
      <w:start w:val="0"/>
      <w:numFmt w:val="bullet"/>
      <w:lvlText w:val="•"/>
      <w:lvlJc w:val="left"/>
      <w:pPr>
        <w:ind w:left="2907" w:hanging="552"/>
      </w:pPr>
      <w:rPr>
        <w:rFonts w:hint="default"/>
        <w:lang w:val="en-US" w:eastAsia="zh-CN" w:bidi="ar-SA"/>
      </w:rPr>
    </w:lvl>
    <w:lvl w:ilvl="4">
      <w:start w:val="0"/>
      <w:numFmt w:val="bullet"/>
      <w:lvlText w:val="•"/>
      <w:lvlJc w:val="left"/>
      <w:pPr>
        <w:ind w:left="3770" w:hanging="552"/>
      </w:pPr>
      <w:rPr>
        <w:rFonts w:hint="default"/>
        <w:lang w:val="en-US" w:eastAsia="zh-CN" w:bidi="ar-SA"/>
      </w:rPr>
    </w:lvl>
    <w:lvl w:ilvl="5">
      <w:start w:val="0"/>
      <w:numFmt w:val="bullet"/>
      <w:lvlText w:val="•"/>
      <w:lvlJc w:val="left"/>
      <w:pPr>
        <w:ind w:left="4633" w:hanging="552"/>
      </w:pPr>
      <w:rPr>
        <w:rFonts w:hint="default"/>
        <w:lang w:val="en-US" w:eastAsia="zh-CN" w:bidi="ar-SA"/>
      </w:rPr>
    </w:lvl>
    <w:lvl w:ilvl="6">
      <w:start w:val="0"/>
      <w:numFmt w:val="bullet"/>
      <w:lvlText w:val="•"/>
      <w:lvlJc w:val="left"/>
      <w:pPr>
        <w:ind w:left="5495" w:hanging="552"/>
      </w:pPr>
      <w:rPr>
        <w:rFonts w:hint="default"/>
        <w:lang w:val="en-US" w:eastAsia="zh-CN" w:bidi="ar-SA"/>
      </w:rPr>
    </w:lvl>
    <w:lvl w:ilvl="7">
      <w:start w:val="0"/>
      <w:numFmt w:val="bullet"/>
      <w:lvlText w:val="•"/>
      <w:lvlJc w:val="left"/>
      <w:pPr>
        <w:ind w:left="6358" w:hanging="552"/>
      </w:pPr>
      <w:rPr>
        <w:rFonts w:hint="default"/>
        <w:lang w:val="en-US" w:eastAsia="zh-CN" w:bidi="ar-SA"/>
      </w:rPr>
    </w:lvl>
    <w:lvl w:ilvl="8">
      <w:start w:val="0"/>
      <w:numFmt w:val="bullet"/>
      <w:lvlText w:val="•"/>
      <w:lvlJc w:val="left"/>
      <w:pPr>
        <w:ind w:left="7221" w:hanging="552"/>
      </w:pPr>
      <w:rPr>
        <w:rFonts w:hint="default"/>
        <w:lang w:val="en-US" w:eastAsia="zh-CN" w:bidi="ar-SA"/>
      </w:rPr>
    </w:lvl>
  </w:abstractNum>
  <w:abstractNum w:abstractNumId="10">
    <w:multiLevelType w:val="hybridMultilevel"/>
    <w:lvl w:ilvl="0">
      <w:start w:val="1"/>
      <w:numFmt w:val="decimal"/>
      <w:lvlText w:val="（%1）"/>
      <w:lvlJc w:val="left"/>
      <w:pPr>
        <w:ind w:left="1160" w:hanging="557"/>
        <w:jc w:val="left"/>
      </w:pPr>
      <w:rPr>
        <w:rFonts w:hint="default" w:ascii="宋体" w:hAnsi="宋体" w:eastAsia="宋体" w:cs="宋体"/>
        <w:b w:val="0"/>
        <w:bCs w:val="0"/>
        <w:i w:val="0"/>
        <w:iCs w:val="0"/>
        <w:spacing w:val="-2"/>
        <w:w w:val="100"/>
        <w:sz w:val="21"/>
        <w:szCs w:val="21"/>
        <w:lang w:val="en-US" w:eastAsia="zh-CN" w:bidi="ar-SA"/>
      </w:rPr>
    </w:lvl>
    <w:lvl w:ilvl="1">
      <w:start w:val="0"/>
      <w:numFmt w:val="bullet"/>
      <w:lvlText w:val="•"/>
      <w:lvlJc w:val="left"/>
      <w:pPr>
        <w:ind w:left="1938" w:hanging="557"/>
      </w:pPr>
      <w:rPr>
        <w:rFonts w:hint="default"/>
        <w:lang w:val="en-US" w:eastAsia="zh-CN" w:bidi="ar-SA"/>
      </w:rPr>
    </w:lvl>
    <w:lvl w:ilvl="2">
      <w:start w:val="0"/>
      <w:numFmt w:val="bullet"/>
      <w:lvlText w:val="•"/>
      <w:lvlJc w:val="left"/>
      <w:pPr>
        <w:ind w:left="2717" w:hanging="557"/>
      </w:pPr>
      <w:rPr>
        <w:rFonts w:hint="default"/>
        <w:lang w:val="en-US" w:eastAsia="zh-CN" w:bidi="ar-SA"/>
      </w:rPr>
    </w:lvl>
    <w:lvl w:ilvl="3">
      <w:start w:val="0"/>
      <w:numFmt w:val="bullet"/>
      <w:lvlText w:val="•"/>
      <w:lvlJc w:val="left"/>
      <w:pPr>
        <w:ind w:left="3495" w:hanging="557"/>
      </w:pPr>
      <w:rPr>
        <w:rFonts w:hint="default"/>
        <w:lang w:val="en-US" w:eastAsia="zh-CN" w:bidi="ar-SA"/>
      </w:rPr>
    </w:lvl>
    <w:lvl w:ilvl="4">
      <w:start w:val="0"/>
      <w:numFmt w:val="bullet"/>
      <w:lvlText w:val="•"/>
      <w:lvlJc w:val="left"/>
      <w:pPr>
        <w:ind w:left="4274" w:hanging="557"/>
      </w:pPr>
      <w:rPr>
        <w:rFonts w:hint="default"/>
        <w:lang w:val="en-US" w:eastAsia="zh-CN" w:bidi="ar-SA"/>
      </w:rPr>
    </w:lvl>
    <w:lvl w:ilvl="5">
      <w:start w:val="0"/>
      <w:numFmt w:val="bullet"/>
      <w:lvlText w:val="•"/>
      <w:lvlJc w:val="left"/>
      <w:pPr>
        <w:ind w:left="5053" w:hanging="557"/>
      </w:pPr>
      <w:rPr>
        <w:rFonts w:hint="default"/>
        <w:lang w:val="en-US" w:eastAsia="zh-CN" w:bidi="ar-SA"/>
      </w:rPr>
    </w:lvl>
    <w:lvl w:ilvl="6">
      <w:start w:val="0"/>
      <w:numFmt w:val="bullet"/>
      <w:lvlText w:val="•"/>
      <w:lvlJc w:val="left"/>
      <w:pPr>
        <w:ind w:left="5831" w:hanging="557"/>
      </w:pPr>
      <w:rPr>
        <w:rFonts w:hint="default"/>
        <w:lang w:val="en-US" w:eastAsia="zh-CN" w:bidi="ar-SA"/>
      </w:rPr>
    </w:lvl>
    <w:lvl w:ilvl="7">
      <w:start w:val="0"/>
      <w:numFmt w:val="bullet"/>
      <w:lvlText w:val="•"/>
      <w:lvlJc w:val="left"/>
      <w:pPr>
        <w:ind w:left="6610" w:hanging="557"/>
      </w:pPr>
      <w:rPr>
        <w:rFonts w:hint="default"/>
        <w:lang w:val="en-US" w:eastAsia="zh-CN" w:bidi="ar-SA"/>
      </w:rPr>
    </w:lvl>
    <w:lvl w:ilvl="8">
      <w:start w:val="0"/>
      <w:numFmt w:val="bullet"/>
      <w:lvlText w:val="•"/>
      <w:lvlJc w:val="left"/>
      <w:pPr>
        <w:ind w:left="7389" w:hanging="557"/>
      </w:pPr>
      <w:rPr>
        <w:rFonts w:hint="default"/>
        <w:lang w:val="en-US" w:eastAsia="zh-CN" w:bidi="ar-SA"/>
      </w:rPr>
    </w:lvl>
  </w:abstractNum>
  <w:abstractNum w:abstractNumId="9">
    <w:multiLevelType w:val="hybridMultilevel"/>
    <w:lvl w:ilvl="0">
      <w:start w:val="1"/>
      <w:numFmt w:val="decimal"/>
      <w:lvlText w:val="（%1）"/>
      <w:lvlJc w:val="left"/>
      <w:pPr>
        <w:ind w:left="1364" w:hanging="624"/>
        <w:jc w:val="left"/>
      </w:pPr>
      <w:rPr>
        <w:rFonts w:hint="default" w:ascii="Microsoft JhengHei" w:hAnsi="Microsoft JhengHei" w:eastAsia="Microsoft JhengHei" w:cs="Microsoft JhengHei"/>
        <w:b/>
        <w:bCs/>
        <w:i w:val="0"/>
        <w:iCs w:val="0"/>
        <w:spacing w:val="-2"/>
        <w:w w:val="100"/>
        <w:sz w:val="21"/>
        <w:szCs w:val="21"/>
        <w:lang w:val="en-US" w:eastAsia="zh-CN" w:bidi="ar-SA"/>
      </w:rPr>
    </w:lvl>
    <w:lvl w:ilvl="1">
      <w:start w:val="0"/>
      <w:numFmt w:val="bullet"/>
      <w:lvlText w:val="•"/>
      <w:lvlJc w:val="left"/>
      <w:pPr>
        <w:ind w:left="2118" w:hanging="624"/>
      </w:pPr>
      <w:rPr>
        <w:rFonts w:hint="default"/>
        <w:lang w:val="en-US" w:eastAsia="zh-CN" w:bidi="ar-SA"/>
      </w:rPr>
    </w:lvl>
    <w:lvl w:ilvl="2">
      <w:start w:val="0"/>
      <w:numFmt w:val="bullet"/>
      <w:lvlText w:val="•"/>
      <w:lvlJc w:val="left"/>
      <w:pPr>
        <w:ind w:left="2877" w:hanging="624"/>
      </w:pPr>
      <w:rPr>
        <w:rFonts w:hint="default"/>
        <w:lang w:val="en-US" w:eastAsia="zh-CN" w:bidi="ar-SA"/>
      </w:rPr>
    </w:lvl>
    <w:lvl w:ilvl="3">
      <w:start w:val="0"/>
      <w:numFmt w:val="bullet"/>
      <w:lvlText w:val="•"/>
      <w:lvlJc w:val="left"/>
      <w:pPr>
        <w:ind w:left="3635" w:hanging="624"/>
      </w:pPr>
      <w:rPr>
        <w:rFonts w:hint="default"/>
        <w:lang w:val="en-US" w:eastAsia="zh-CN" w:bidi="ar-SA"/>
      </w:rPr>
    </w:lvl>
    <w:lvl w:ilvl="4">
      <w:start w:val="0"/>
      <w:numFmt w:val="bullet"/>
      <w:lvlText w:val="•"/>
      <w:lvlJc w:val="left"/>
      <w:pPr>
        <w:ind w:left="4394" w:hanging="624"/>
      </w:pPr>
      <w:rPr>
        <w:rFonts w:hint="default"/>
        <w:lang w:val="en-US" w:eastAsia="zh-CN" w:bidi="ar-SA"/>
      </w:rPr>
    </w:lvl>
    <w:lvl w:ilvl="5">
      <w:start w:val="0"/>
      <w:numFmt w:val="bullet"/>
      <w:lvlText w:val="•"/>
      <w:lvlJc w:val="left"/>
      <w:pPr>
        <w:ind w:left="5153" w:hanging="624"/>
      </w:pPr>
      <w:rPr>
        <w:rFonts w:hint="default"/>
        <w:lang w:val="en-US" w:eastAsia="zh-CN" w:bidi="ar-SA"/>
      </w:rPr>
    </w:lvl>
    <w:lvl w:ilvl="6">
      <w:start w:val="0"/>
      <w:numFmt w:val="bullet"/>
      <w:lvlText w:val="•"/>
      <w:lvlJc w:val="left"/>
      <w:pPr>
        <w:ind w:left="5911" w:hanging="624"/>
      </w:pPr>
      <w:rPr>
        <w:rFonts w:hint="default"/>
        <w:lang w:val="en-US" w:eastAsia="zh-CN" w:bidi="ar-SA"/>
      </w:rPr>
    </w:lvl>
    <w:lvl w:ilvl="7">
      <w:start w:val="0"/>
      <w:numFmt w:val="bullet"/>
      <w:lvlText w:val="•"/>
      <w:lvlJc w:val="left"/>
      <w:pPr>
        <w:ind w:left="6670" w:hanging="624"/>
      </w:pPr>
      <w:rPr>
        <w:rFonts w:hint="default"/>
        <w:lang w:val="en-US" w:eastAsia="zh-CN" w:bidi="ar-SA"/>
      </w:rPr>
    </w:lvl>
    <w:lvl w:ilvl="8">
      <w:start w:val="0"/>
      <w:numFmt w:val="bullet"/>
      <w:lvlText w:val="•"/>
      <w:lvlJc w:val="left"/>
      <w:pPr>
        <w:ind w:left="7429" w:hanging="624"/>
      </w:pPr>
      <w:rPr>
        <w:rFonts w:hint="default"/>
        <w:lang w:val="en-US" w:eastAsia="zh-CN" w:bidi="ar-SA"/>
      </w:rPr>
    </w:lvl>
  </w:abstractNum>
  <w:abstractNum w:abstractNumId="8">
    <w:multiLevelType w:val="hybridMultilevel"/>
    <w:lvl w:ilvl="0">
      <w:start w:val="1"/>
      <w:numFmt w:val="decimal"/>
      <w:lvlText w:val="（%1）"/>
      <w:lvlJc w:val="left"/>
      <w:pPr>
        <w:ind w:left="1172" w:hanging="538"/>
        <w:jc w:val="left"/>
      </w:pPr>
      <w:rPr>
        <w:rFonts w:hint="default" w:ascii="宋体" w:hAnsi="宋体" w:eastAsia="宋体" w:cs="宋体"/>
        <w:b w:val="0"/>
        <w:bCs w:val="0"/>
        <w:i w:val="0"/>
        <w:iCs w:val="0"/>
        <w:spacing w:val="-2"/>
        <w:w w:val="100"/>
        <w:sz w:val="19"/>
        <w:szCs w:val="19"/>
        <w:lang w:val="en-US" w:eastAsia="zh-CN" w:bidi="ar-SA"/>
      </w:rPr>
    </w:lvl>
    <w:lvl w:ilvl="1">
      <w:start w:val="0"/>
      <w:numFmt w:val="bullet"/>
      <w:lvlText w:val="•"/>
      <w:lvlJc w:val="left"/>
      <w:pPr>
        <w:ind w:left="1956" w:hanging="538"/>
      </w:pPr>
      <w:rPr>
        <w:rFonts w:hint="default"/>
        <w:lang w:val="en-US" w:eastAsia="zh-CN" w:bidi="ar-SA"/>
      </w:rPr>
    </w:lvl>
    <w:lvl w:ilvl="2">
      <w:start w:val="0"/>
      <w:numFmt w:val="bullet"/>
      <w:lvlText w:val="•"/>
      <w:lvlJc w:val="left"/>
      <w:pPr>
        <w:ind w:left="2733" w:hanging="538"/>
      </w:pPr>
      <w:rPr>
        <w:rFonts w:hint="default"/>
        <w:lang w:val="en-US" w:eastAsia="zh-CN" w:bidi="ar-SA"/>
      </w:rPr>
    </w:lvl>
    <w:lvl w:ilvl="3">
      <w:start w:val="0"/>
      <w:numFmt w:val="bullet"/>
      <w:lvlText w:val="•"/>
      <w:lvlJc w:val="left"/>
      <w:pPr>
        <w:ind w:left="3509" w:hanging="538"/>
      </w:pPr>
      <w:rPr>
        <w:rFonts w:hint="default"/>
        <w:lang w:val="en-US" w:eastAsia="zh-CN" w:bidi="ar-SA"/>
      </w:rPr>
    </w:lvl>
    <w:lvl w:ilvl="4">
      <w:start w:val="0"/>
      <w:numFmt w:val="bullet"/>
      <w:lvlText w:val="•"/>
      <w:lvlJc w:val="left"/>
      <w:pPr>
        <w:ind w:left="4286" w:hanging="538"/>
      </w:pPr>
      <w:rPr>
        <w:rFonts w:hint="default"/>
        <w:lang w:val="en-US" w:eastAsia="zh-CN" w:bidi="ar-SA"/>
      </w:rPr>
    </w:lvl>
    <w:lvl w:ilvl="5">
      <w:start w:val="0"/>
      <w:numFmt w:val="bullet"/>
      <w:lvlText w:val="•"/>
      <w:lvlJc w:val="left"/>
      <w:pPr>
        <w:ind w:left="5063" w:hanging="538"/>
      </w:pPr>
      <w:rPr>
        <w:rFonts w:hint="default"/>
        <w:lang w:val="en-US" w:eastAsia="zh-CN" w:bidi="ar-SA"/>
      </w:rPr>
    </w:lvl>
    <w:lvl w:ilvl="6">
      <w:start w:val="0"/>
      <w:numFmt w:val="bullet"/>
      <w:lvlText w:val="•"/>
      <w:lvlJc w:val="left"/>
      <w:pPr>
        <w:ind w:left="5839" w:hanging="538"/>
      </w:pPr>
      <w:rPr>
        <w:rFonts w:hint="default"/>
        <w:lang w:val="en-US" w:eastAsia="zh-CN" w:bidi="ar-SA"/>
      </w:rPr>
    </w:lvl>
    <w:lvl w:ilvl="7">
      <w:start w:val="0"/>
      <w:numFmt w:val="bullet"/>
      <w:lvlText w:val="•"/>
      <w:lvlJc w:val="left"/>
      <w:pPr>
        <w:ind w:left="6616" w:hanging="538"/>
      </w:pPr>
      <w:rPr>
        <w:rFonts w:hint="default"/>
        <w:lang w:val="en-US" w:eastAsia="zh-CN" w:bidi="ar-SA"/>
      </w:rPr>
    </w:lvl>
    <w:lvl w:ilvl="8">
      <w:start w:val="0"/>
      <w:numFmt w:val="bullet"/>
      <w:lvlText w:val="•"/>
      <w:lvlJc w:val="left"/>
      <w:pPr>
        <w:ind w:left="7393" w:hanging="538"/>
      </w:pPr>
      <w:rPr>
        <w:rFonts w:hint="default"/>
        <w:lang w:val="en-US" w:eastAsia="zh-CN" w:bidi="ar-SA"/>
      </w:rPr>
    </w:lvl>
  </w:abstractNum>
  <w:abstractNum w:abstractNumId="7">
    <w:multiLevelType w:val="hybridMultilevel"/>
    <w:lvl w:ilvl="0">
      <w:start w:val="1"/>
      <w:numFmt w:val="decimal"/>
      <w:lvlText w:val="（%1）"/>
      <w:lvlJc w:val="left"/>
      <w:pPr>
        <w:ind w:left="1163" w:hanging="529"/>
        <w:jc w:val="left"/>
      </w:pPr>
      <w:rPr>
        <w:rFonts w:hint="default" w:ascii="宋体" w:hAnsi="宋体" w:eastAsia="宋体" w:cs="宋体"/>
        <w:b w:val="0"/>
        <w:bCs w:val="0"/>
        <w:i w:val="0"/>
        <w:iCs w:val="0"/>
        <w:spacing w:val="-2"/>
        <w:w w:val="100"/>
        <w:sz w:val="19"/>
        <w:szCs w:val="19"/>
        <w:lang w:val="en-US" w:eastAsia="zh-CN" w:bidi="ar-SA"/>
      </w:rPr>
    </w:lvl>
    <w:lvl w:ilvl="1">
      <w:start w:val="0"/>
      <w:numFmt w:val="bullet"/>
      <w:lvlText w:val="•"/>
      <w:lvlJc w:val="left"/>
      <w:pPr>
        <w:ind w:left="1938" w:hanging="529"/>
      </w:pPr>
      <w:rPr>
        <w:rFonts w:hint="default"/>
        <w:lang w:val="en-US" w:eastAsia="zh-CN" w:bidi="ar-SA"/>
      </w:rPr>
    </w:lvl>
    <w:lvl w:ilvl="2">
      <w:start w:val="0"/>
      <w:numFmt w:val="bullet"/>
      <w:lvlText w:val="•"/>
      <w:lvlJc w:val="left"/>
      <w:pPr>
        <w:ind w:left="2717" w:hanging="529"/>
      </w:pPr>
      <w:rPr>
        <w:rFonts w:hint="default"/>
        <w:lang w:val="en-US" w:eastAsia="zh-CN" w:bidi="ar-SA"/>
      </w:rPr>
    </w:lvl>
    <w:lvl w:ilvl="3">
      <w:start w:val="0"/>
      <w:numFmt w:val="bullet"/>
      <w:lvlText w:val="•"/>
      <w:lvlJc w:val="left"/>
      <w:pPr>
        <w:ind w:left="3495" w:hanging="529"/>
      </w:pPr>
      <w:rPr>
        <w:rFonts w:hint="default"/>
        <w:lang w:val="en-US" w:eastAsia="zh-CN" w:bidi="ar-SA"/>
      </w:rPr>
    </w:lvl>
    <w:lvl w:ilvl="4">
      <w:start w:val="0"/>
      <w:numFmt w:val="bullet"/>
      <w:lvlText w:val="•"/>
      <w:lvlJc w:val="left"/>
      <w:pPr>
        <w:ind w:left="4274" w:hanging="529"/>
      </w:pPr>
      <w:rPr>
        <w:rFonts w:hint="default"/>
        <w:lang w:val="en-US" w:eastAsia="zh-CN" w:bidi="ar-SA"/>
      </w:rPr>
    </w:lvl>
    <w:lvl w:ilvl="5">
      <w:start w:val="0"/>
      <w:numFmt w:val="bullet"/>
      <w:lvlText w:val="•"/>
      <w:lvlJc w:val="left"/>
      <w:pPr>
        <w:ind w:left="5053" w:hanging="529"/>
      </w:pPr>
      <w:rPr>
        <w:rFonts w:hint="default"/>
        <w:lang w:val="en-US" w:eastAsia="zh-CN" w:bidi="ar-SA"/>
      </w:rPr>
    </w:lvl>
    <w:lvl w:ilvl="6">
      <w:start w:val="0"/>
      <w:numFmt w:val="bullet"/>
      <w:lvlText w:val="•"/>
      <w:lvlJc w:val="left"/>
      <w:pPr>
        <w:ind w:left="5831" w:hanging="529"/>
      </w:pPr>
      <w:rPr>
        <w:rFonts w:hint="default"/>
        <w:lang w:val="en-US" w:eastAsia="zh-CN" w:bidi="ar-SA"/>
      </w:rPr>
    </w:lvl>
    <w:lvl w:ilvl="7">
      <w:start w:val="0"/>
      <w:numFmt w:val="bullet"/>
      <w:lvlText w:val="•"/>
      <w:lvlJc w:val="left"/>
      <w:pPr>
        <w:ind w:left="6610" w:hanging="529"/>
      </w:pPr>
      <w:rPr>
        <w:rFonts w:hint="default"/>
        <w:lang w:val="en-US" w:eastAsia="zh-CN" w:bidi="ar-SA"/>
      </w:rPr>
    </w:lvl>
    <w:lvl w:ilvl="8">
      <w:start w:val="0"/>
      <w:numFmt w:val="bullet"/>
      <w:lvlText w:val="•"/>
      <w:lvlJc w:val="left"/>
      <w:pPr>
        <w:ind w:left="7389" w:hanging="529"/>
      </w:pPr>
      <w:rPr>
        <w:rFonts w:hint="default"/>
        <w:lang w:val="en-US" w:eastAsia="zh-CN" w:bidi="ar-SA"/>
      </w:rPr>
    </w:lvl>
  </w:abstractNum>
  <w:abstractNum w:abstractNumId="6">
    <w:multiLevelType w:val="hybridMultilevel"/>
    <w:lvl w:ilvl="0">
      <w:start w:val="1"/>
      <w:numFmt w:val="decimal"/>
      <w:lvlText w:val="（%1）"/>
      <w:lvlJc w:val="left"/>
      <w:pPr>
        <w:ind w:left="1491" w:hanging="632"/>
        <w:jc w:val="left"/>
      </w:pPr>
      <w:rPr>
        <w:rFonts w:hint="default" w:ascii="黑体" w:hAnsi="黑体" w:eastAsia="黑体" w:cs="黑体"/>
        <w:b w:val="0"/>
        <w:bCs w:val="0"/>
        <w:i w:val="0"/>
        <w:iCs w:val="0"/>
        <w:w w:val="100"/>
        <w:sz w:val="21"/>
        <w:szCs w:val="21"/>
        <w:lang w:val="en-US" w:eastAsia="zh-CN" w:bidi="ar-SA"/>
      </w:rPr>
    </w:lvl>
    <w:lvl w:ilvl="1">
      <w:start w:val="0"/>
      <w:numFmt w:val="bullet"/>
      <w:lvlText w:val="•"/>
      <w:lvlJc w:val="left"/>
      <w:pPr>
        <w:ind w:left="2244" w:hanging="632"/>
      </w:pPr>
      <w:rPr>
        <w:rFonts w:hint="default"/>
        <w:lang w:val="en-US" w:eastAsia="zh-CN" w:bidi="ar-SA"/>
      </w:rPr>
    </w:lvl>
    <w:lvl w:ilvl="2">
      <w:start w:val="0"/>
      <w:numFmt w:val="bullet"/>
      <w:lvlText w:val="•"/>
      <w:lvlJc w:val="left"/>
      <w:pPr>
        <w:ind w:left="2989" w:hanging="632"/>
      </w:pPr>
      <w:rPr>
        <w:rFonts w:hint="default"/>
        <w:lang w:val="en-US" w:eastAsia="zh-CN" w:bidi="ar-SA"/>
      </w:rPr>
    </w:lvl>
    <w:lvl w:ilvl="3">
      <w:start w:val="0"/>
      <w:numFmt w:val="bullet"/>
      <w:lvlText w:val="•"/>
      <w:lvlJc w:val="left"/>
      <w:pPr>
        <w:ind w:left="3733" w:hanging="632"/>
      </w:pPr>
      <w:rPr>
        <w:rFonts w:hint="default"/>
        <w:lang w:val="en-US" w:eastAsia="zh-CN" w:bidi="ar-SA"/>
      </w:rPr>
    </w:lvl>
    <w:lvl w:ilvl="4">
      <w:start w:val="0"/>
      <w:numFmt w:val="bullet"/>
      <w:lvlText w:val="•"/>
      <w:lvlJc w:val="left"/>
      <w:pPr>
        <w:ind w:left="4478" w:hanging="632"/>
      </w:pPr>
      <w:rPr>
        <w:rFonts w:hint="default"/>
        <w:lang w:val="en-US" w:eastAsia="zh-CN" w:bidi="ar-SA"/>
      </w:rPr>
    </w:lvl>
    <w:lvl w:ilvl="5">
      <w:start w:val="0"/>
      <w:numFmt w:val="bullet"/>
      <w:lvlText w:val="•"/>
      <w:lvlJc w:val="left"/>
      <w:pPr>
        <w:ind w:left="5223" w:hanging="632"/>
      </w:pPr>
      <w:rPr>
        <w:rFonts w:hint="default"/>
        <w:lang w:val="en-US" w:eastAsia="zh-CN" w:bidi="ar-SA"/>
      </w:rPr>
    </w:lvl>
    <w:lvl w:ilvl="6">
      <w:start w:val="0"/>
      <w:numFmt w:val="bullet"/>
      <w:lvlText w:val="•"/>
      <w:lvlJc w:val="left"/>
      <w:pPr>
        <w:ind w:left="5967" w:hanging="632"/>
      </w:pPr>
      <w:rPr>
        <w:rFonts w:hint="default"/>
        <w:lang w:val="en-US" w:eastAsia="zh-CN" w:bidi="ar-SA"/>
      </w:rPr>
    </w:lvl>
    <w:lvl w:ilvl="7">
      <w:start w:val="0"/>
      <w:numFmt w:val="bullet"/>
      <w:lvlText w:val="•"/>
      <w:lvlJc w:val="left"/>
      <w:pPr>
        <w:ind w:left="6712" w:hanging="632"/>
      </w:pPr>
      <w:rPr>
        <w:rFonts w:hint="default"/>
        <w:lang w:val="en-US" w:eastAsia="zh-CN" w:bidi="ar-SA"/>
      </w:rPr>
    </w:lvl>
    <w:lvl w:ilvl="8">
      <w:start w:val="0"/>
      <w:numFmt w:val="bullet"/>
      <w:lvlText w:val="•"/>
      <w:lvlJc w:val="left"/>
      <w:pPr>
        <w:ind w:left="7457" w:hanging="632"/>
      </w:pPr>
      <w:rPr>
        <w:rFonts w:hint="default"/>
        <w:lang w:val="en-US" w:eastAsia="zh-CN" w:bidi="ar-SA"/>
      </w:rPr>
    </w:lvl>
  </w:abstractNum>
  <w:abstractNum w:abstractNumId="5">
    <w:multiLevelType w:val="hybridMultilevel"/>
    <w:lvl w:ilvl="0">
      <w:start w:val="1"/>
      <w:numFmt w:val="decimal"/>
      <w:lvlText w:val="（%1）"/>
      <w:lvlJc w:val="left"/>
      <w:pPr>
        <w:ind w:left="1314" w:hanging="567"/>
        <w:jc w:val="left"/>
      </w:pPr>
      <w:rPr>
        <w:rFonts w:hint="default" w:ascii="宋体" w:hAnsi="宋体" w:eastAsia="宋体" w:cs="宋体"/>
        <w:b w:val="0"/>
        <w:bCs w:val="0"/>
        <w:i w:val="0"/>
        <w:iCs w:val="0"/>
        <w:spacing w:val="-2"/>
        <w:w w:val="100"/>
        <w:sz w:val="21"/>
        <w:szCs w:val="21"/>
        <w:lang w:val="en-US" w:eastAsia="zh-CN" w:bidi="ar-SA"/>
      </w:rPr>
    </w:lvl>
    <w:lvl w:ilvl="1">
      <w:start w:val="0"/>
      <w:numFmt w:val="bullet"/>
      <w:lvlText w:val="•"/>
      <w:lvlJc w:val="left"/>
      <w:pPr>
        <w:ind w:left="2082" w:hanging="567"/>
      </w:pPr>
      <w:rPr>
        <w:rFonts w:hint="default"/>
        <w:lang w:val="en-US" w:eastAsia="zh-CN" w:bidi="ar-SA"/>
      </w:rPr>
    </w:lvl>
    <w:lvl w:ilvl="2">
      <w:start w:val="0"/>
      <w:numFmt w:val="bullet"/>
      <w:lvlText w:val="•"/>
      <w:lvlJc w:val="left"/>
      <w:pPr>
        <w:ind w:left="2845" w:hanging="567"/>
      </w:pPr>
      <w:rPr>
        <w:rFonts w:hint="default"/>
        <w:lang w:val="en-US" w:eastAsia="zh-CN" w:bidi="ar-SA"/>
      </w:rPr>
    </w:lvl>
    <w:lvl w:ilvl="3">
      <w:start w:val="0"/>
      <w:numFmt w:val="bullet"/>
      <w:lvlText w:val="•"/>
      <w:lvlJc w:val="left"/>
      <w:pPr>
        <w:ind w:left="3607" w:hanging="567"/>
      </w:pPr>
      <w:rPr>
        <w:rFonts w:hint="default"/>
        <w:lang w:val="en-US" w:eastAsia="zh-CN" w:bidi="ar-SA"/>
      </w:rPr>
    </w:lvl>
    <w:lvl w:ilvl="4">
      <w:start w:val="0"/>
      <w:numFmt w:val="bullet"/>
      <w:lvlText w:val="•"/>
      <w:lvlJc w:val="left"/>
      <w:pPr>
        <w:ind w:left="4370" w:hanging="567"/>
      </w:pPr>
      <w:rPr>
        <w:rFonts w:hint="default"/>
        <w:lang w:val="en-US" w:eastAsia="zh-CN" w:bidi="ar-SA"/>
      </w:rPr>
    </w:lvl>
    <w:lvl w:ilvl="5">
      <w:start w:val="0"/>
      <w:numFmt w:val="bullet"/>
      <w:lvlText w:val="•"/>
      <w:lvlJc w:val="left"/>
      <w:pPr>
        <w:ind w:left="5133" w:hanging="567"/>
      </w:pPr>
      <w:rPr>
        <w:rFonts w:hint="default"/>
        <w:lang w:val="en-US" w:eastAsia="zh-CN" w:bidi="ar-SA"/>
      </w:rPr>
    </w:lvl>
    <w:lvl w:ilvl="6">
      <w:start w:val="0"/>
      <w:numFmt w:val="bullet"/>
      <w:lvlText w:val="•"/>
      <w:lvlJc w:val="left"/>
      <w:pPr>
        <w:ind w:left="5895" w:hanging="567"/>
      </w:pPr>
      <w:rPr>
        <w:rFonts w:hint="default"/>
        <w:lang w:val="en-US" w:eastAsia="zh-CN" w:bidi="ar-SA"/>
      </w:rPr>
    </w:lvl>
    <w:lvl w:ilvl="7">
      <w:start w:val="0"/>
      <w:numFmt w:val="bullet"/>
      <w:lvlText w:val="•"/>
      <w:lvlJc w:val="left"/>
      <w:pPr>
        <w:ind w:left="6658" w:hanging="567"/>
      </w:pPr>
      <w:rPr>
        <w:rFonts w:hint="default"/>
        <w:lang w:val="en-US" w:eastAsia="zh-CN" w:bidi="ar-SA"/>
      </w:rPr>
    </w:lvl>
    <w:lvl w:ilvl="8">
      <w:start w:val="0"/>
      <w:numFmt w:val="bullet"/>
      <w:lvlText w:val="•"/>
      <w:lvlJc w:val="left"/>
      <w:pPr>
        <w:ind w:left="7421" w:hanging="567"/>
      </w:pPr>
      <w:rPr>
        <w:rFonts w:hint="default"/>
        <w:lang w:val="en-US" w:eastAsia="zh-CN" w:bidi="ar-SA"/>
      </w:rPr>
    </w:lvl>
  </w:abstractNum>
  <w:abstractNum w:abstractNumId="4">
    <w:multiLevelType w:val="hybridMultilevel"/>
    <w:lvl w:ilvl="0">
      <w:start w:val="1"/>
      <w:numFmt w:val="decimal"/>
      <w:lvlText w:val="（%1）"/>
      <w:lvlJc w:val="left"/>
      <w:pPr>
        <w:ind w:left="1374" w:hanging="634"/>
        <w:jc w:val="left"/>
      </w:pPr>
      <w:rPr>
        <w:rFonts w:hint="default" w:ascii="宋体" w:hAnsi="宋体" w:eastAsia="宋体" w:cs="宋体"/>
        <w:b w:val="0"/>
        <w:bCs w:val="0"/>
        <w:i w:val="0"/>
        <w:iCs w:val="0"/>
        <w:spacing w:val="-2"/>
        <w:w w:val="100"/>
        <w:sz w:val="21"/>
        <w:szCs w:val="21"/>
        <w:lang w:val="en-US" w:eastAsia="zh-CN" w:bidi="ar-SA"/>
      </w:rPr>
    </w:lvl>
    <w:lvl w:ilvl="1">
      <w:start w:val="0"/>
      <w:numFmt w:val="bullet"/>
      <w:lvlText w:val="•"/>
      <w:lvlJc w:val="left"/>
      <w:pPr>
        <w:ind w:left="2136" w:hanging="634"/>
      </w:pPr>
      <w:rPr>
        <w:rFonts w:hint="default"/>
        <w:lang w:val="en-US" w:eastAsia="zh-CN" w:bidi="ar-SA"/>
      </w:rPr>
    </w:lvl>
    <w:lvl w:ilvl="2">
      <w:start w:val="0"/>
      <w:numFmt w:val="bullet"/>
      <w:lvlText w:val="•"/>
      <w:lvlJc w:val="left"/>
      <w:pPr>
        <w:ind w:left="2893" w:hanging="634"/>
      </w:pPr>
      <w:rPr>
        <w:rFonts w:hint="default"/>
        <w:lang w:val="en-US" w:eastAsia="zh-CN" w:bidi="ar-SA"/>
      </w:rPr>
    </w:lvl>
    <w:lvl w:ilvl="3">
      <w:start w:val="0"/>
      <w:numFmt w:val="bullet"/>
      <w:lvlText w:val="•"/>
      <w:lvlJc w:val="left"/>
      <w:pPr>
        <w:ind w:left="3649" w:hanging="634"/>
      </w:pPr>
      <w:rPr>
        <w:rFonts w:hint="default"/>
        <w:lang w:val="en-US" w:eastAsia="zh-CN" w:bidi="ar-SA"/>
      </w:rPr>
    </w:lvl>
    <w:lvl w:ilvl="4">
      <w:start w:val="0"/>
      <w:numFmt w:val="bullet"/>
      <w:lvlText w:val="•"/>
      <w:lvlJc w:val="left"/>
      <w:pPr>
        <w:ind w:left="4406" w:hanging="634"/>
      </w:pPr>
      <w:rPr>
        <w:rFonts w:hint="default"/>
        <w:lang w:val="en-US" w:eastAsia="zh-CN" w:bidi="ar-SA"/>
      </w:rPr>
    </w:lvl>
    <w:lvl w:ilvl="5">
      <w:start w:val="0"/>
      <w:numFmt w:val="bullet"/>
      <w:lvlText w:val="•"/>
      <w:lvlJc w:val="left"/>
      <w:pPr>
        <w:ind w:left="5163" w:hanging="634"/>
      </w:pPr>
      <w:rPr>
        <w:rFonts w:hint="default"/>
        <w:lang w:val="en-US" w:eastAsia="zh-CN" w:bidi="ar-SA"/>
      </w:rPr>
    </w:lvl>
    <w:lvl w:ilvl="6">
      <w:start w:val="0"/>
      <w:numFmt w:val="bullet"/>
      <w:lvlText w:val="•"/>
      <w:lvlJc w:val="left"/>
      <w:pPr>
        <w:ind w:left="5919" w:hanging="634"/>
      </w:pPr>
      <w:rPr>
        <w:rFonts w:hint="default"/>
        <w:lang w:val="en-US" w:eastAsia="zh-CN" w:bidi="ar-SA"/>
      </w:rPr>
    </w:lvl>
    <w:lvl w:ilvl="7">
      <w:start w:val="0"/>
      <w:numFmt w:val="bullet"/>
      <w:lvlText w:val="•"/>
      <w:lvlJc w:val="left"/>
      <w:pPr>
        <w:ind w:left="6676" w:hanging="634"/>
      </w:pPr>
      <w:rPr>
        <w:rFonts w:hint="default"/>
        <w:lang w:val="en-US" w:eastAsia="zh-CN" w:bidi="ar-SA"/>
      </w:rPr>
    </w:lvl>
    <w:lvl w:ilvl="8">
      <w:start w:val="0"/>
      <w:numFmt w:val="bullet"/>
      <w:lvlText w:val="•"/>
      <w:lvlJc w:val="left"/>
      <w:pPr>
        <w:ind w:left="7433" w:hanging="634"/>
      </w:pPr>
      <w:rPr>
        <w:rFonts w:hint="default"/>
        <w:lang w:val="en-US" w:eastAsia="zh-CN" w:bidi="ar-SA"/>
      </w:rPr>
    </w:lvl>
  </w:abstractNum>
  <w:abstractNum w:abstractNumId="3">
    <w:multiLevelType w:val="hybridMultilevel"/>
    <w:lvl w:ilvl="0">
      <w:start w:val="1"/>
      <w:numFmt w:val="decimal"/>
      <w:lvlText w:val="（%1）"/>
      <w:lvlJc w:val="left"/>
      <w:pPr>
        <w:ind w:left="1374" w:hanging="634"/>
        <w:jc w:val="left"/>
      </w:pPr>
      <w:rPr>
        <w:rFonts w:hint="default" w:ascii="宋体" w:hAnsi="宋体" w:eastAsia="宋体" w:cs="宋体"/>
        <w:b w:val="0"/>
        <w:bCs w:val="0"/>
        <w:i w:val="0"/>
        <w:iCs w:val="0"/>
        <w:spacing w:val="-2"/>
        <w:w w:val="100"/>
        <w:sz w:val="21"/>
        <w:szCs w:val="21"/>
        <w:lang w:val="en-US" w:eastAsia="zh-CN" w:bidi="ar-SA"/>
      </w:rPr>
    </w:lvl>
    <w:lvl w:ilvl="1">
      <w:start w:val="0"/>
      <w:numFmt w:val="bullet"/>
      <w:lvlText w:val="•"/>
      <w:lvlJc w:val="left"/>
      <w:pPr>
        <w:ind w:left="2136" w:hanging="634"/>
      </w:pPr>
      <w:rPr>
        <w:rFonts w:hint="default"/>
        <w:lang w:val="en-US" w:eastAsia="zh-CN" w:bidi="ar-SA"/>
      </w:rPr>
    </w:lvl>
    <w:lvl w:ilvl="2">
      <w:start w:val="0"/>
      <w:numFmt w:val="bullet"/>
      <w:lvlText w:val="•"/>
      <w:lvlJc w:val="left"/>
      <w:pPr>
        <w:ind w:left="2893" w:hanging="634"/>
      </w:pPr>
      <w:rPr>
        <w:rFonts w:hint="default"/>
        <w:lang w:val="en-US" w:eastAsia="zh-CN" w:bidi="ar-SA"/>
      </w:rPr>
    </w:lvl>
    <w:lvl w:ilvl="3">
      <w:start w:val="0"/>
      <w:numFmt w:val="bullet"/>
      <w:lvlText w:val="•"/>
      <w:lvlJc w:val="left"/>
      <w:pPr>
        <w:ind w:left="3649" w:hanging="634"/>
      </w:pPr>
      <w:rPr>
        <w:rFonts w:hint="default"/>
        <w:lang w:val="en-US" w:eastAsia="zh-CN" w:bidi="ar-SA"/>
      </w:rPr>
    </w:lvl>
    <w:lvl w:ilvl="4">
      <w:start w:val="0"/>
      <w:numFmt w:val="bullet"/>
      <w:lvlText w:val="•"/>
      <w:lvlJc w:val="left"/>
      <w:pPr>
        <w:ind w:left="4406" w:hanging="634"/>
      </w:pPr>
      <w:rPr>
        <w:rFonts w:hint="default"/>
        <w:lang w:val="en-US" w:eastAsia="zh-CN" w:bidi="ar-SA"/>
      </w:rPr>
    </w:lvl>
    <w:lvl w:ilvl="5">
      <w:start w:val="0"/>
      <w:numFmt w:val="bullet"/>
      <w:lvlText w:val="•"/>
      <w:lvlJc w:val="left"/>
      <w:pPr>
        <w:ind w:left="5163" w:hanging="634"/>
      </w:pPr>
      <w:rPr>
        <w:rFonts w:hint="default"/>
        <w:lang w:val="en-US" w:eastAsia="zh-CN" w:bidi="ar-SA"/>
      </w:rPr>
    </w:lvl>
    <w:lvl w:ilvl="6">
      <w:start w:val="0"/>
      <w:numFmt w:val="bullet"/>
      <w:lvlText w:val="•"/>
      <w:lvlJc w:val="left"/>
      <w:pPr>
        <w:ind w:left="5919" w:hanging="634"/>
      </w:pPr>
      <w:rPr>
        <w:rFonts w:hint="default"/>
        <w:lang w:val="en-US" w:eastAsia="zh-CN" w:bidi="ar-SA"/>
      </w:rPr>
    </w:lvl>
    <w:lvl w:ilvl="7">
      <w:start w:val="0"/>
      <w:numFmt w:val="bullet"/>
      <w:lvlText w:val="•"/>
      <w:lvlJc w:val="left"/>
      <w:pPr>
        <w:ind w:left="6676" w:hanging="634"/>
      </w:pPr>
      <w:rPr>
        <w:rFonts w:hint="default"/>
        <w:lang w:val="en-US" w:eastAsia="zh-CN" w:bidi="ar-SA"/>
      </w:rPr>
    </w:lvl>
    <w:lvl w:ilvl="8">
      <w:start w:val="0"/>
      <w:numFmt w:val="bullet"/>
      <w:lvlText w:val="•"/>
      <w:lvlJc w:val="left"/>
      <w:pPr>
        <w:ind w:left="7433" w:hanging="634"/>
      </w:pPr>
      <w:rPr>
        <w:rFonts w:hint="default"/>
        <w:lang w:val="en-US" w:eastAsia="zh-CN" w:bidi="ar-SA"/>
      </w:rPr>
    </w:lvl>
  </w:abstractNum>
  <w:abstractNum w:abstractNumId="2">
    <w:multiLevelType w:val="hybridMultilevel"/>
    <w:lvl w:ilvl="0">
      <w:start w:val="1"/>
      <w:numFmt w:val="decimal"/>
      <w:lvlText w:val="（%1）"/>
      <w:lvlJc w:val="left"/>
      <w:pPr>
        <w:ind w:left="320" w:hanging="532"/>
        <w:jc w:val="left"/>
      </w:pPr>
      <w:rPr>
        <w:rFonts w:hint="default" w:ascii="宋体" w:hAnsi="宋体" w:eastAsia="宋体" w:cs="宋体"/>
        <w:b w:val="0"/>
        <w:bCs w:val="0"/>
        <w:i w:val="0"/>
        <w:iCs w:val="0"/>
        <w:spacing w:val="-3"/>
        <w:w w:val="100"/>
        <w:sz w:val="19"/>
        <w:szCs w:val="19"/>
        <w:lang w:val="en-US" w:eastAsia="zh-CN" w:bidi="ar-SA"/>
      </w:rPr>
    </w:lvl>
    <w:lvl w:ilvl="1">
      <w:start w:val="0"/>
      <w:numFmt w:val="bullet"/>
      <w:lvlText w:val="•"/>
      <w:lvlJc w:val="left"/>
      <w:pPr>
        <w:ind w:left="1182" w:hanging="532"/>
      </w:pPr>
      <w:rPr>
        <w:rFonts w:hint="default"/>
        <w:lang w:val="en-US" w:eastAsia="zh-CN" w:bidi="ar-SA"/>
      </w:rPr>
    </w:lvl>
    <w:lvl w:ilvl="2">
      <w:start w:val="0"/>
      <w:numFmt w:val="bullet"/>
      <w:lvlText w:val="•"/>
      <w:lvlJc w:val="left"/>
      <w:pPr>
        <w:ind w:left="2045" w:hanging="532"/>
      </w:pPr>
      <w:rPr>
        <w:rFonts w:hint="default"/>
        <w:lang w:val="en-US" w:eastAsia="zh-CN" w:bidi="ar-SA"/>
      </w:rPr>
    </w:lvl>
    <w:lvl w:ilvl="3">
      <w:start w:val="0"/>
      <w:numFmt w:val="bullet"/>
      <w:lvlText w:val="•"/>
      <w:lvlJc w:val="left"/>
      <w:pPr>
        <w:ind w:left="2907" w:hanging="532"/>
      </w:pPr>
      <w:rPr>
        <w:rFonts w:hint="default"/>
        <w:lang w:val="en-US" w:eastAsia="zh-CN" w:bidi="ar-SA"/>
      </w:rPr>
    </w:lvl>
    <w:lvl w:ilvl="4">
      <w:start w:val="0"/>
      <w:numFmt w:val="bullet"/>
      <w:lvlText w:val="•"/>
      <w:lvlJc w:val="left"/>
      <w:pPr>
        <w:ind w:left="3770" w:hanging="532"/>
      </w:pPr>
      <w:rPr>
        <w:rFonts w:hint="default"/>
        <w:lang w:val="en-US" w:eastAsia="zh-CN" w:bidi="ar-SA"/>
      </w:rPr>
    </w:lvl>
    <w:lvl w:ilvl="5">
      <w:start w:val="0"/>
      <w:numFmt w:val="bullet"/>
      <w:lvlText w:val="•"/>
      <w:lvlJc w:val="left"/>
      <w:pPr>
        <w:ind w:left="4633" w:hanging="532"/>
      </w:pPr>
      <w:rPr>
        <w:rFonts w:hint="default"/>
        <w:lang w:val="en-US" w:eastAsia="zh-CN" w:bidi="ar-SA"/>
      </w:rPr>
    </w:lvl>
    <w:lvl w:ilvl="6">
      <w:start w:val="0"/>
      <w:numFmt w:val="bullet"/>
      <w:lvlText w:val="•"/>
      <w:lvlJc w:val="left"/>
      <w:pPr>
        <w:ind w:left="5495" w:hanging="532"/>
      </w:pPr>
      <w:rPr>
        <w:rFonts w:hint="default"/>
        <w:lang w:val="en-US" w:eastAsia="zh-CN" w:bidi="ar-SA"/>
      </w:rPr>
    </w:lvl>
    <w:lvl w:ilvl="7">
      <w:start w:val="0"/>
      <w:numFmt w:val="bullet"/>
      <w:lvlText w:val="•"/>
      <w:lvlJc w:val="left"/>
      <w:pPr>
        <w:ind w:left="6358" w:hanging="532"/>
      </w:pPr>
      <w:rPr>
        <w:rFonts w:hint="default"/>
        <w:lang w:val="en-US" w:eastAsia="zh-CN" w:bidi="ar-SA"/>
      </w:rPr>
    </w:lvl>
    <w:lvl w:ilvl="8">
      <w:start w:val="0"/>
      <w:numFmt w:val="bullet"/>
      <w:lvlText w:val="•"/>
      <w:lvlJc w:val="left"/>
      <w:pPr>
        <w:ind w:left="7221" w:hanging="532"/>
      </w:pPr>
      <w:rPr>
        <w:rFonts w:hint="default"/>
        <w:lang w:val="en-US" w:eastAsia="zh-CN" w:bidi="ar-SA"/>
      </w:rPr>
    </w:lvl>
  </w:abstractNum>
  <w:abstractNum w:abstractNumId="1">
    <w:multiLevelType w:val="hybridMultilevel"/>
    <w:lvl w:ilvl="0">
      <w:start w:val="1"/>
      <w:numFmt w:val="decimal"/>
      <w:lvlText w:val="%1."/>
      <w:lvlJc w:val="left"/>
      <w:pPr>
        <w:ind w:left="680" w:hanging="360"/>
        <w:jc w:val="left"/>
      </w:pPr>
      <w:rPr>
        <w:rFonts w:hint="default"/>
        <w:w w:val="100"/>
        <w:lang w:val="en-US" w:eastAsia="zh-CN" w:bidi="ar-SA"/>
      </w:rPr>
    </w:lvl>
    <w:lvl w:ilvl="1">
      <w:start w:val="1"/>
      <w:numFmt w:val="decimal"/>
      <w:lvlText w:val="%1.%2"/>
      <w:lvlJc w:val="left"/>
      <w:pPr>
        <w:ind w:left="1160" w:hanging="420"/>
        <w:jc w:val="left"/>
      </w:pPr>
      <w:rPr>
        <w:rFonts w:hint="default" w:ascii="Calibri" w:hAnsi="Calibri" w:eastAsia="Calibri" w:cs="Calibri"/>
        <w:b w:val="0"/>
        <w:bCs w:val="0"/>
        <w:i w:val="0"/>
        <w:iCs w:val="0"/>
        <w:spacing w:val="-1"/>
        <w:w w:val="100"/>
        <w:sz w:val="21"/>
        <w:szCs w:val="21"/>
        <w:lang w:val="en-US" w:eastAsia="zh-CN" w:bidi="ar-SA"/>
      </w:rPr>
    </w:lvl>
    <w:lvl w:ilvl="2">
      <w:start w:val="0"/>
      <w:numFmt w:val="bullet"/>
      <w:lvlText w:val="•"/>
      <w:lvlJc w:val="left"/>
      <w:pPr>
        <w:ind w:left="1160" w:hanging="420"/>
      </w:pPr>
      <w:rPr>
        <w:rFonts w:hint="default"/>
        <w:lang w:val="en-US" w:eastAsia="zh-CN" w:bidi="ar-SA"/>
      </w:rPr>
    </w:lvl>
    <w:lvl w:ilvl="3">
      <w:start w:val="0"/>
      <w:numFmt w:val="bullet"/>
      <w:lvlText w:val="•"/>
      <w:lvlJc w:val="left"/>
      <w:pPr>
        <w:ind w:left="1260" w:hanging="420"/>
      </w:pPr>
      <w:rPr>
        <w:rFonts w:hint="default"/>
        <w:lang w:val="en-US" w:eastAsia="zh-CN" w:bidi="ar-SA"/>
      </w:rPr>
    </w:lvl>
    <w:lvl w:ilvl="4">
      <w:start w:val="0"/>
      <w:numFmt w:val="bullet"/>
      <w:lvlText w:val="•"/>
      <w:lvlJc w:val="left"/>
      <w:pPr>
        <w:ind w:left="2358" w:hanging="420"/>
      </w:pPr>
      <w:rPr>
        <w:rFonts w:hint="default"/>
        <w:lang w:val="en-US" w:eastAsia="zh-CN" w:bidi="ar-SA"/>
      </w:rPr>
    </w:lvl>
    <w:lvl w:ilvl="5">
      <w:start w:val="0"/>
      <w:numFmt w:val="bullet"/>
      <w:lvlText w:val="•"/>
      <w:lvlJc w:val="left"/>
      <w:pPr>
        <w:ind w:left="3456" w:hanging="420"/>
      </w:pPr>
      <w:rPr>
        <w:rFonts w:hint="default"/>
        <w:lang w:val="en-US" w:eastAsia="zh-CN" w:bidi="ar-SA"/>
      </w:rPr>
    </w:lvl>
    <w:lvl w:ilvl="6">
      <w:start w:val="0"/>
      <w:numFmt w:val="bullet"/>
      <w:lvlText w:val="•"/>
      <w:lvlJc w:val="left"/>
      <w:pPr>
        <w:ind w:left="4554" w:hanging="420"/>
      </w:pPr>
      <w:rPr>
        <w:rFonts w:hint="default"/>
        <w:lang w:val="en-US" w:eastAsia="zh-CN" w:bidi="ar-SA"/>
      </w:rPr>
    </w:lvl>
    <w:lvl w:ilvl="7">
      <w:start w:val="0"/>
      <w:numFmt w:val="bullet"/>
      <w:lvlText w:val="•"/>
      <w:lvlJc w:val="left"/>
      <w:pPr>
        <w:ind w:left="5652" w:hanging="420"/>
      </w:pPr>
      <w:rPr>
        <w:rFonts w:hint="default"/>
        <w:lang w:val="en-US" w:eastAsia="zh-CN" w:bidi="ar-SA"/>
      </w:rPr>
    </w:lvl>
    <w:lvl w:ilvl="8">
      <w:start w:val="0"/>
      <w:numFmt w:val="bullet"/>
      <w:lvlText w:val="•"/>
      <w:lvlJc w:val="left"/>
      <w:pPr>
        <w:ind w:left="6750" w:hanging="420"/>
      </w:pPr>
      <w:rPr>
        <w:rFonts w:hint="default"/>
        <w:lang w:val="en-US" w:eastAsia="zh-CN" w:bidi="ar-SA"/>
      </w:rPr>
    </w:lvl>
  </w:abstractNum>
  <w:abstractNum w:abstractNumId="0">
    <w:multiLevelType w:val="hybridMultilevel"/>
    <w:lvl w:ilvl="0">
      <w:start w:val="1"/>
      <w:numFmt w:val="decimal"/>
      <w:lvlText w:val="%1."/>
      <w:lvlJc w:val="left"/>
      <w:pPr>
        <w:ind w:left="1172" w:hanging="432"/>
        <w:jc w:val="left"/>
      </w:pPr>
      <w:rPr>
        <w:rFonts w:hint="default"/>
        <w:w w:val="100"/>
        <w:lang w:val="en-US" w:eastAsia="zh-CN" w:bidi="ar-SA"/>
      </w:rPr>
    </w:lvl>
    <w:lvl w:ilvl="1">
      <w:start w:val="0"/>
      <w:numFmt w:val="bullet"/>
      <w:lvlText w:val="•"/>
      <w:lvlJc w:val="left"/>
      <w:pPr>
        <w:ind w:left="1956" w:hanging="432"/>
      </w:pPr>
      <w:rPr>
        <w:rFonts w:hint="default"/>
        <w:lang w:val="en-US" w:eastAsia="zh-CN" w:bidi="ar-SA"/>
      </w:rPr>
    </w:lvl>
    <w:lvl w:ilvl="2">
      <w:start w:val="0"/>
      <w:numFmt w:val="bullet"/>
      <w:lvlText w:val="•"/>
      <w:lvlJc w:val="left"/>
      <w:pPr>
        <w:ind w:left="2733" w:hanging="432"/>
      </w:pPr>
      <w:rPr>
        <w:rFonts w:hint="default"/>
        <w:lang w:val="en-US" w:eastAsia="zh-CN" w:bidi="ar-SA"/>
      </w:rPr>
    </w:lvl>
    <w:lvl w:ilvl="3">
      <w:start w:val="0"/>
      <w:numFmt w:val="bullet"/>
      <w:lvlText w:val="•"/>
      <w:lvlJc w:val="left"/>
      <w:pPr>
        <w:ind w:left="3509" w:hanging="432"/>
      </w:pPr>
      <w:rPr>
        <w:rFonts w:hint="default"/>
        <w:lang w:val="en-US" w:eastAsia="zh-CN" w:bidi="ar-SA"/>
      </w:rPr>
    </w:lvl>
    <w:lvl w:ilvl="4">
      <w:start w:val="0"/>
      <w:numFmt w:val="bullet"/>
      <w:lvlText w:val="•"/>
      <w:lvlJc w:val="left"/>
      <w:pPr>
        <w:ind w:left="4286" w:hanging="432"/>
      </w:pPr>
      <w:rPr>
        <w:rFonts w:hint="default"/>
        <w:lang w:val="en-US" w:eastAsia="zh-CN" w:bidi="ar-SA"/>
      </w:rPr>
    </w:lvl>
    <w:lvl w:ilvl="5">
      <w:start w:val="0"/>
      <w:numFmt w:val="bullet"/>
      <w:lvlText w:val="•"/>
      <w:lvlJc w:val="left"/>
      <w:pPr>
        <w:ind w:left="5063" w:hanging="432"/>
      </w:pPr>
      <w:rPr>
        <w:rFonts w:hint="default"/>
        <w:lang w:val="en-US" w:eastAsia="zh-CN" w:bidi="ar-SA"/>
      </w:rPr>
    </w:lvl>
    <w:lvl w:ilvl="6">
      <w:start w:val="0"/>
      <w:numFmt w:val="bullet"/>
      <w:lvlText w:val="•"/>
      <w:lvlJc w:val="left"/>
      <w:pPr>
        <w:ind w:left="5839" w:hanging="432"/>
      </w:pPr>
      <w:rPr>
        <w:rFonts w:hint="default"/>
        <w:lang w:val="en-US" w:eastAsia="zh-CN" w:bidi="ar-SA"/>
      </w:rPr>
    </w:lvl>
    <w:lvl w:ilvl="7">
      <w:start w:val="0"/>
      <w:numFmt w:val="bullet"/>
      <w:lvlText w:val="•"/>
      <w:lvlJc w:val="left"/>
      <w:pPr>
        <w:ind w:left="6616" w:hanging="432"/>
      </w:pPr>
      <w:rPr>
        <w:rFonts w:hint="default"/>
        <w:lang w:val="en-US" w:eastAsia="zh-CN" w:bidi="ar-SA"/>
      </w:rPr>
    </w:lvl>
    <w:lvl w:ilvl="8">
      <w:start w:val="0"/>
      <w:numFmt w:val="bullet"/>
      <w:lvlText w:val="•"/>
      <w:lvlJc w:val="left"/>
      <w:pPr>
        <w:ind w:left="7393" w:hanging="432"/>
      </w:pPr>
      <w:rPr>
        <w:rFonts w:hint="default"/>
        <w:lang w:val="en-US" w:eastAsia="zh-CN" w:bidi="ar-SA"/>
      </w:rPr>
    </w:lvl>
  </w:abstractNum>
  <w:num w:numId="14">
    <w:abstractNumId w:val="13"/>
  </w:num>
  <w:num w:numId="13">
    <w:abstractNumId w:val="12"/>
  </w:num>
  <w:num w:numId="12">
    <w:abstractNumId w:val="11"/>
  </w:num>
  <w:num w:numId="11">
    <w:abstractNumId w:val="10"/>
  </w:num>
  <w:num w:numId="10">
    <w:abstractNumId w:val="9"/>
  </w:num>
  <w:num w:numId="9">
    <w:abstractNumId w:val="8"/>
  </w:num>
  <w:num w:numId="8">
    <w:abstractNumId w:val="7"/>
  </w:num>
  <w:num w:numId="7">
    <w:abstractNumId w:val="6"/>
  </w:num>
  <w:num w:numId="6">
    <w:abstractNumId w:val="5"/>
  </w:num>
  <w:num w:numId="5">
    <w:abstractNumId w:val="4"/>
  </w:num>
  <w:num w:numId="4">
    <w:abstractNumId w:val="3"/>
  </w:num>
  <w:num w:numId="3">
    <w:abstractNumId w:val="2"/>
  </w:num>
  <w:num w:numId="2">
    <w:abstractNumId w:val="1"/>
  </w: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0"/>
  <w:defaultTabStop w:val="720"/>
  <w:drawingGridHorizontalSpacing w:val="110"/>
  <w:displayHorizontalDrawingGridEvery w:val="2"/>
  <w:characterSpacingControl w:val="doNotCompress"/>
  <w:compat>
    <w:ulTrailSpace/>
    <w:shapeLayoutLikeWW8/>
    <w:useFELayout/>
  </w:compat>
</w:settings>
</file>

<file path=word/styles.xml><?xml version="1.0" encoding="utf-8"?>
<w:styles xmlns:r="http://schemas.openxmlformats.org/officeDocument/2006/relationships" xmlns:w="http://schemas.openxmlformats.org/wordprocessingml/2006/main">
  <w:docDefaults>
    <w:rPrDefault>
      <w:rPr>
        <w:rFonts w:cstheme="minorBidi" w:hAnsiTheme="minorHAnsi" w:eastAsiaTheme="minorHAnsi" w:asciiTheme="minorHAnsi"/>
        <w:sz w:val="22"/>
        <w:szCs w:val="22"/>
        <w:lang w:val="en-US" w:bidi="ar-SA" w:eastAsia="en-US"/>
      </w:rPr>
    </w:rPrDefault>
    <w:pPrDefault>
      <w:pPr>
        <w:widowControl w:val="0"/>
        <w:autoSpaceDE w:val="0"/>
        <w:autoSpaceDN w:val="0"/>
        <w:spacing w:lineRule="auto" w:line="240" w:before="0" w:after="0"/>
        <w:ind w:left="0" w:right="0"/>
        <w:jc w:val="left"/>
      </w:pPr>
    </w:pPrDefault>
  </w:docDefaults>
  <w:style w:styleId="DefaultParagraphFont" w:default="1" w:type="character">
    <w:name w:val="Default Paragraph Font"/>
    <w:uiPriority w:val="1"/>
    <w:semiHidden/>
    <w:unhideWhenUsed/>
  </w:style>
  <w:style w:styleId="TableNormal" w:default="1" w:type="table">
    <w:name w:val="Table Normal"/>
    <w:uiPriority w:val="2"/>
    <w:semiHidden/>
    <w:unhideWhenUsed/>
    <w:qFormat/>
    <w:tblPr>
      <w:tblInd w:w="0" w:type="dxa"/>
      <w:tblCellMar>
        <w:top w:w="0" w:type="dxa"/>
        <w:left w:w="0" w:type="dxa"/>
        <w:bottom w:w="0" w:type="dxa"/>
        <w:right w:w="0" w:type="dxa"/>
      </w:tblCellMar>
    </w:tblPr>
  </w:style>
  <w:style w:styleId="NoList" w:default="1" w:type="numbering">
    <w:name w:val="No List"/>
    <w:uiPriority w:val="99"/>
    <w:semiHidden/>
    <w:unhideWhenUsed/>
  </w:style>
  <w:style w:default="1" w:styleId="Normal" w:type="paragraph">
    <w:name w:val="Normal"/>
    <w:uiPriority w:val="1"/>
    <w:qFormat/>
    <w:pPr/>
    <w:rPr>
      <w:rFonts w:ascii="宋体" w:hAnsi="宋体" w:eastAsia="宋体" w:cs="宋体"/>
      <w:lang w:val="en-US" w:eastAsia="zh-CN" w:bidi="ar-SA"/>
    </w:rPr>
  </w:style>
  <w:style w:styleId="TOC1" w:type="paragraph">
    <w:name w:val="TOC 1"/>
    <w:basedOn w:val="Normal"/>
    <w:uiPriority w:val="1"/>
    <w:qFormat/>
    <w:pPr>
      <w:spacing w:line="253" w:lineRule="exact"/>
      <w:ind w:left="320"/>
    </w:pPr>
    <w:rPr>
      <w:rFonts w:ascii="宋体" w:hAnsi="宋体" w:eastAsia="宋体" w:cs="宋体"/>
      <w:sz w:val="21"/>
      <w:szCs w:val="21"/>
      <w:lang w:val="en-US" w:eastAsia="zh-CN" w:bidi="ar-SA"/>
    </w:rPr>
  </w:style>
  <w:style w:styleId="TOC2" w:type="paragraph">
    <w:name w:val="TOC 2"/>
    <w:basedOn w:val="Normal"/>
    <w:uiPriority w:val="1"/>
    <w:qFormat/>
    <w:pPr>
      <w:spacing w:line="312" w:lineRule="exact"/>
      <w:ind w:left="1172" w:hanging="433"/>
    </w:pPr>
    <w:rPr>
      <w:rFonts w:ascii="Microsoft JhengHei" w:hAnsi="Microsoft JhengHei" w:eastAsia="Microsoft JhengHei" w:cs="Microsoft JhengHei"/>
      <w:b/>
      <w:bCs/>
      <w:sz w:val="21"/>
      <w:szCs w:val="21"/>
      <w:lang w:val="en-US" w:eastAsia="zh-CN" w:bidi="ar-SA"/>
    </w:rPr>
  </w:style>
  <w:style w:styleId="TOC3" w:type="paragraph">
    <w:name w:val="TOC 3"/>
    <w:basedOn w:val="Normal"/>
    <w:uiPriority w:val="1"/>
    <w:qFormat/>
    <w:pPr>
      <w:spacing w:line="312" w:lineRule="exact"/>
      <w:ind w:left="1172" w:hanging="433"/>
    </w:pPr>
    <w:rPr>
      <w:rFonts w:ascii="Microsoft JhengHei" w:hAnsi="Microsoft JhengHei" w:eastAsia="Microsoft JhengHei" w:cs="Microsoft JhengHei"/>
      <w:b/>
      <w:bCs/>
      <w:i/>
      <w:iCs/>
      <w:lang w:val="en-US" w:eastAsia="zh-CN" w:bidi="ar-SA"/>
    </w:rPr>
  </w:style>
  <w:style w:styleId="BodyText" w:type="paragraph">
    <w:name w:val="Body Text"/>
    <w:basedOn w:val="Normal"/>
    <w:uiPriority w:val="1"/>
    <w:qFormat/>
    <w:pPr/>
    <w:rPr>
      <w:rFonts w:ascii="宋体" w:hAnsi="宋体" w:eastAsia="宋体" w:cs="宋体"/>
      <w:sz w:val="21"/>
      <w:szCs w:val="21"/>
      <w:lang w:val="en-US" w:eastAsia="zh-CN" w:bidi="ar-SA"/>
    </w:rPr>
  </w:style>
  <w:style w:styleId="Heading1" w:type="paragraph">
    <w:name w:val="Heading 1"/>
    <w:basedOn w:val="Normal"/>
    <w:uiPriority w:val="1"/>
    <w:qFormat/>
    <w:pPr>
      <w:ind w:left="1"/>
      <w:jc w:val="center"/>
      <w:outlineLvl w:val="1"/>
    </w:pPr>
    <w:rPr>
      <w:rFonts w:ascii="Microsoft JhengHei" w:hAnsi="Microsoft JhengHei" w:eastAsia="Microsoft JhengHei" w:cs="Microsoft JhengHei"/>
      <w:b/>
      <w:bCs/>
      <w:sz w:val="28"/>
      <w:szCs w:val="28"/>
      <w:lang w:val="en-US" w:eastAsia="zh-CN" w:bidi="ar-SA"/>
    </w:rPr>
  </w:style>
  <w:style w:styleId="Heading2" w:type="paragraph">
    <w:name w:val="Heading 2"/>
    <w:basedOn w:val="Normal"/>
    <w:uiPriority w:val="1"/>
    <w:qFormat/>
    <w:pPr>
      <w:ind w:left="680" w:hanging="361"/>
      <w:outlineLvl w:val="2"/>
    </w:pPr>
    <w:rPr>
      <w:rFonts w:ascii="Microsoft JhengHei" w:hAnsi="Microsoft JhengHei" w:eastAsia="Microsoft JhengHei" w:cs="Microsoft JhengHei"/>
      <w:b/>
      <w:bCs/>
      <w:sz w:val="21"/>
      <w:szCs w:val="21"/>
      <w:lang w:val="en-US" w:eastAsia="zh-CN" w:bidi="ar-SA"/>
    </w:rPr>
  </w:style>
  <w:style w:styleId="Title" w:type="paragraph">
    <w:name w:val="Title"/>
    <w:basedOn w:val="Normal"/>
    <w:uiPriority w:val="1"/>
    <w:qFormat/>
    <w:pPr>
      <w:ind w:left="1602" w:right="1600"/>
      <w:jc w:val="center"/>
    </w:pPr>
    <w:rPr>
      <w:rFonts w:ascii="Microsoft JhengHei" w:hAnsi="Microsoft JhengHei" w:eastAsia="Microsoft JhengHei" w:cs="Microsoft JhengHei"/>
      <w:b/>
      <w:bCs/>
      <w:sz w:val="44"/>
      <w:szCs w:val="44"/>
      <w:lang w:val="en-US" w:eastAsia="zh-CN" w:bidi="ar-SA"/>
    </w:rPr>
  </w:style>
  <w:style w:styleId="ListParagraph" w:type="paragraph">
    <w:name w:val="List Paragraph"/>
    <w:basedOn w:val="Normal"/>
    <w:uiPriority w:val="1"/>
    <w:qFormat/>
    <w:pPr>
      <w:ind w:left="1172" w:hanging="433"/>
    </w:pPr>
    <w:rPr>
      <w:rFonts w:ascii="宋体" w:hAnsi="宋体" w:eastAsia="宋体" w:cs="宋体"/>
      <w:lang w:val="en-US" w:eastAsia="zh-CN" w:bidi="ar-SA"/>
    </w:rPr>
  </w:style>
  <w:style w:styleId="TableParagraph" w:type="paragraph">
    <w:name w:val="Table Paragraph"/>
    <w:basedOn w:val="Normal"/>
    <w:uiPriority w:val="1"/>
    <w:qFormat/>
    <w:pPr>
      <w:spacing w:before="44"/>
      <w:jc w:val="center"/>
    </w:pPr>
    <w:rPr>
      <w:rFonts w:ascii="Calibri" w:hAnsi="Calibri" w:eastAsia="Calibri" w:cs="Calibri"/>
      <w:lang w:val="en-US" w:eastAsia="zh-CN" w:bidi="ar-SA"/>
    </w:rPr>
  </w:style>
</w:styles>
</file>

<file path=word/_rels/document.xml.rels><?xml version="1.0" encoding="UTF-8" standalone="yes"?>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theme" Target="theme/theme1.xml"/><Relationship Id="rId4" Type="http://schemas.openxmlformats.org/officeDocument/2006/relationships/settings" Target="settings.xml"/><Relationship Id="rId5" Type="http://schemas.openxmlformats.org/officeDocument/2006/relationships/footer" Target="footer1.xml"/><Relationship Id="rId6" Type="http://schemas.openxmlformats.org/officeDocument/2006/relationships/image" Target="media/image1.png"/><Relationship Id="rId7" Type="http://schemas.openxmlformats.org/officeDocument/2006/relationships/image" Target="media/image2.png"/><Relationship Id="rId8" Type="http://schemas.openxmlformats.org/officeDocument/2006/relationships/image" Target="media/image3.png"/><Relationship Id="rId9" Type="http://schemas.openxmlformats.org/officeDocument/2006/relationships/image" Target="media/image4.png"/><Relationship Id="rId10"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Application>Microsoft Office Word</Application>
  <DocSecurity>0</DocSecurity>
  <ScaleCrop>false</ScaleCrop>
  <LinksUpToDate>false</LinksUpToDate>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2023-06-02T02:25:10Z</dcterms:created>
  <dcterms:modified xsi:type="dcterms:W3CDTF">2023-06-02T02:25:10Z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2023-06-02T00:00:00Z</vt:filetime>
  </property>
  <property fmtid="{D5CDD505-2E9C-101B-9397-08002B2CF9AE}" pid="3" name="Creator">
    <vt:lpwstr>Aspose Ltd.</vt:lpwstr>
  </property>
  <property fmtid="{D5CDD505-2E9C-101B-9397-08002B2CF9AE}" pid="4" name="LastSaved">
    <vt:filetime>2023-06-02T00:00:00Z</vt:filetime>
  </property>
</Properties>
</file>